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rPr>
          <w:rFonts w:hint="eastAsia" w:ascii="黑体" w:hAnsi="黑体" w:eastAsia="黑体"/>
          <w:snapToGrid w:val="0"/>
          <w:spacing w:val="-10"/>
          <w:w w:val="90"/>
          <w:sz w:val="28"/>
        </w:rPr>
      </w:pPr>
      <w:bookmarkStart w:id="32" w:name="_GoBack"/>
      <w:r>
        <w:rPr>
          <w:rFonts w:ascii="黑体" w:hAnsi="黑体" w:eastAsia="黑体"/>
          <w:snapToGrid w:val="0"/>
          <w:spacing w:val="-10"/>
          <w:w w:val="90"/>
          <w:sz w:val="28"/>
        </w:rPr>
        <w:t>附件2：项目需求书</w:t>
      </w:r>
    </w:p>
    <w:bookmarkEnd w:id="32"/>
    <w:p>
      <w:pPr>
        <w:pStyle w:val="10"/>
        <w:keepNext/>
        <w:keepLines/>
        <w:pageBreakBefore w:val="0"/>
        <w:widowControl w:val="0"/>
        <w:numPr>
          <w:ilvl w:val="1"/>
          <w:numId w:val="0"/>
        </w:numPr>
        <w:kinsoku/>
        <w:wordWrap/>
        <w:overflowPunct/>
        <w:topLinePunct w:val="0"/>
        <w:autoSpaceDE/>
        <w:autoSpaceDN/>
        <w:bidi w:val="0"/>
        <w:adjustRightInd w:val="0"/>
        <w:snapToGrid/>
        <w:spacing w:before="157" w:beforeLines="50" w:after="157" w:afterLines="50" w:line="360" w:lineRule="auto"/>
        <w:ind w:left="336" w:firstLine="482" w:firstLineChars="200"/>
        <w:jc w:val="left"/>
        <w:textAlignment w:val="baseline"/>
        <w:outlineLvl w:val="1"/>
        <w:rPr>
          <w:rFonts w:hint="eastAsia" w:ascii="宋体" w:hAnsi="宋体" w:eastAsia="宋体" w:cs="宋体"/>
          <w:b/>
          <w:bCs/>
          <w:color w:val="auto"/>
          <w:sz w:val="24"/>
          <w:szCs w:val="24"/>
        </w:rPr>
      </w:pPr>
      <w:bookmarkStart w:id="0" w:name="_Toc13475"/>
      <w:bookmarkStart w:id="1" w:name="_Toc1826"/>
      <w:bookmarkStart w:id="2" w:name="_Toc11491"/>
      <w:bookmarkStart w:id="3" w:name="_Toc178582706"/>
      <w:bookmarkStart w:id="4" w:name="_Toc378151511"/>
      <w:r>
        <w:rPr>
          <w:rFonts w:hint="eastAsia" w:ascii="宋体" w:hAnsi="宋体" w:eastAsia="宋体" w:cs="宋体"/>
          <w:b/>
          <w:bCs/>
          <w:color w:val="auto"/>
          <w:sz w:val="24"/>
          <w:szCs w:val="24"/>
        </w:rPr>
        <w:t>一、</w:t>
      </w:r>
      <w:bookmarkEnd w:id="0"/>
      <w:r>
        <w:rPr>
          <w:rFonts w:hint="eastAsia" w:ascii="宋体" w:hAnsi="宋体" w:eastAsia="宋体" w:cs="宋体"/>
          <w:b/>
          <w:bCs/>
          <w:color w:val="auto"/>
          <w:sz w:val="24"/>
          <w:szCs w:val="24"/>
        </w:rPr>
        <w:t>项目介绍</w:t>
      </w:r>
      <w:bookmarkEnd w:id="1"/>
      <w:bookmarkEnd w:id="2"/>
    </w:p>
    <w:p>
      <w:pPr>
        <w:pStyle w:val="10"/>
        <w:keepNext/>
        <w:keepLines/>
        <w:pageBreakBefore w:val="0"/>
        <w:widowControl w:val="0"/>
        <w:numPr>
          <w:ilvl w:val="1"/>
          <w:numId w:val="0"/>
        </w:numPr>
        <w:kinsoku/>
        <w:wordWrap/>
        <w:overflowPunct/>
        <w:topLinePunct w:val="0"/>
        <w:autoSpaceDE/>
        <w:autoSpaceDN/>
        <w:bidi w:val="0"/>
        <w:adjustRightInd w:val="0"/>
        <w:snapToGrid/>
        <w:spacing w:before="0" w:beforeLines="0" w:after="0" w:afterLines="0" w:line="360" w:lineRule="auto"/>
        <w:ind w:left="336" w:firstLine="480" w:firstLineChars="200"/>
        <w:jc w:val="left"/>
        <w:textAlignment w:val="baseline"/>
        <w:outlineLvl w:val="2"/>
        <w:rPr>
          <w:rFonts w:hint="eastAsia" w:ascii="宋体" w:hAnsi="宋体" w:eastAsia="宋体" w:cs="宋体"/>
          <w:b w:val="0"/>
          <w:bCs w:val="0"/>
          <w:color w:val="auto"/>
          <w:sz w:val="24"/>
          <w:szCs w:val="24"/>
        </w:rPr>
      </w:pPr>
      <w:bookmarkStart w:id="5" w:name="_Toc20375"/>
      <w:bookmarkStart w:id="6" w:name="_Toc14418"/>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一</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项目背景概述</w:t>
      </w:r>
    </w:p>
    <w:p>
      <w:pPr>
        <w:pageBreakBefore w:val="0"/>
        <w:widowControl w:val="0"/>
        <w:kinsoku/>
        <w:wordWrap/>
        <w:overflowPunct/>
        <w:topLinePunct w:val="0"/>
        <w:autoSpaceDE/>
        <w:autoSpaceDN/>
        <w:bidi w:val="0"/>
        <w:adjustRightInd w:val="0"/>
        <w:snapToGrid/>
        <w:spacing w:before="0" w:beforeLines="0" w:after="0" w:afterLines="0"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年,国家金融监督管理总局发布《商业银行资本管理办法》（国家金融监督管理总局令2023年第4号，以下简称资本新规），并于2024年1月1日正式施行，政策性银行参照执行，实施过渡期2年。资本新规在银行数据治理、IT系统建设、业务流程优化、信息披露和内部资本管理等多个方面，较原试行办法提出了更高要求。2025年1月，采购人依据资本新规启动了风险加权资产计算及新资本协议监管报表系统（以下简称RWA系统）建设工作。</w:t>
      </w:r>
    </w:p>
    <w:p>
      <w:pPr>
        <w:pageBreakBefore w:val="0"/>
        <w:widowControl w:val="0"/>
        <w:kinsoku/>
        <w:wordWrap/>
        <w:overflowPunct/>
        <w:topLinePunct w:val="0"/>
        <w:autoSpaceDE/>
        <w:autoSpaceDN/>
        <w:bidi w:val="0"/>
        <w:adjustRightInd w:val="0"/>
        <w:snapToGrid/>
        <w:spacing w:before="0" w:beforeLines="0" w:after="0" w:afterLines="0"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为保障资本新规在采购人按期</w:t>
      </w:r>
      <w:r>
        <w:rPr>
          <w:rFonts w:hint="eastAsia" w:ascii="宋体" w:hAnsi="宋体" w:eastAsia="宋体" w:cs="宋体"/>
          <w:sz w:val="24"/>
          <w:szCs w:val="24"/>
          <w:highlight w:val="none"/>
          <w:lang w:val="en-US" w:eastAsia="zh-CN"/>
        </w:rPr>
        <w:t>落地实施，在RWA系统建设的同时，需对其上游联合开发系统部分功能进行配套改造工作。</w:t>
      </w:r>
    </w:p>
    <w:p>
      <w:pPr>
        <w:pageBreakBefore w:val="0"/>
        <w:widowControl w:val="0"/>
        <w:kinsoku/>
        <w:wordWrap/>
        <w:overflowPunct/>
        <w:topLinePunct w:val="0"/>
        <w:autoSpaceDE/>
        <w:autoSpaceDN/>
        <w:bidi w:val="0"/>
        <w:adjustRightInd w:val="0"/>
        <w:snapToGrid/>
        <w:spacing w:before="0" w:beforeLines="0" w:after="0" w:afterLines="0" w:line="360" w:lineRule="auto"/>
        <w:ind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为配合RWA系统在2025月11月前完成行内系统整体建设，并于2026年1月1日正式投产上线。现拟将已澄清的9项涉及RWA系统配套改造需求作为联合开发系统资本新规配套改造需求采购实施服务。</w:t>
      </w:r>
    </w:p>
    <w:p>
      <w:pPr>
        <w:pageBreakBefore w:val="0"/>
        <w:widowControl w:val="0"/>
        <w:kinsoku/>
        <w:wordWrap/>
        <w:overflowPunct/>
        <w:topLinePunct w:val="0"/>
        <w:autoSpaceDE/>
        <w:autoSpaceDN/>
        <w:bidi w:val="0"/>
        <w:adjustRightInd w:val="0"/>
        <w:snapToGrid/>
        <w:spacing w:before="0" w:beforeLines="0" w:after="0" w:afterLines="0" w:line="360" w:lineRule="auto"/>
        <w:ind w:firstLine="480" w:firstLineChars="200"/>
        <w:jc w:val="left"/>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联合开发系统是指中国进出口银行与建信金融科技有限责任公司联合开发的中国进出口银行相关系统。</w:t>
      </w:r>
    </w:p>
    <w:p>
      <w:pPr>
        <w:pStyle w:val="10"/>
        <w:keepNext/>
        <w:keepLines/>
        <w:pageBreakBefore w:val="0"/>
        <w:widowControl w:val="0"/>
        <w:numPr>
          <w:ilvl w:val="0"/>
          <w:numId w:val="1"/>
        </w:numPr>
        <w:kinsoku/>
        <w:wordWrap/>
        <w:overflowPunct/>
        <w:topLinePunct w:val="0"/>
        <w:autoSpaceDE/>
        <w:autoSpaceDN/>
        <w:bidi w:val="0"/>
        <w:adjustRightInd w:val="0"/>
        <w:snapToGrid/>
        <w:spacing w:before="0" w:beforeLines="0" w:after="0" w:afterLines="0" w:line="360" w:lineRule="auto"/>
        <w:ind w:firstLine="480" w:firstLineChars="200"/>
        <w:jc w:val="left"/>
        <w:textAlignment w:val="baseline"/>
        <w:outlineLvl w:val="2"/>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需求依据和来源</w:t>
      </w:r>
    </w:p>
    <w:p>
      <w:pPr>
        <w:pageBreakBefore w:val="0"/>
        <w:widowControl w:val="0"/>
        <w:kinsoku/>
        <w:wordWrap/>
        <w:overflowPunct/>
        <w:topLinePunct w:val="0"/>
        <w:autoSpaceDE/>
        <w:autoSpaceDN/>
        <w:bidi w:val="0"/>
        <w:adjustRightInd w:val="0"/>
        <w:snapToGrid/>
        <w:spacing w:before="0" w:beforeLines="0" w:after="0" w:afterLines="0" w:line="360" w:lineRule="auto"/>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依据资本新规相关内容和采购人RWA系统建设总体要求，各业务部门提出了系统功能改造需求，涉及与RWA系统相关的上游系统。</w:t>
      </w:r>
    </w:p>
    <w:p>
      <w:pPr>
        <w:pStyle w:val="10"/>
        <w:keepNext/>
        <w:keepLines/>
        <w:pageBreakBefore w:val="0"/>
        <w:widowControl w:val="0"/>
        <w:numPr>
          <w:ilvl w:val="0"/>
          <w:numId w:val="1"/>
        </w:numPr>
        <w:kinsoku/>
        <w:wordWrap/>
        <w:overflowPunct/>
        <w:topLinePunct w:val="0"/>
        <w:autoSpaceDE/>
        <w:autoSpaceDN/>
        <w:bidi w:val="0"/>
        <w:adjustRightInd w:val="0"/>
        <w:snapToGrid/>
        <w:spacing w:before="0" w:beforeLines="0" w:after="0" w:afterLines="0" w:line="360" w:lineRule="auto"/>
        <w:ind w:firstLine="480" w:firstLineChars="200"/>
        <w:jc w:val="left"/>
        <w:textAlignment w:val="baseline"/>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功能或目标</w:t>
      </w:r>
    </w:p>
    <w:bookmarkEnd w:id="5"/>
    <w:p>
      <w:pPr>
        <w:pageBreakBefore w:val="0"/>
        <w:widowControl w:val="0"/>
        <w:kinsoku/>
        <w:wordWrap/>
        <w:overflowPunct/>
        <w:topLinePunct w:val="0"/>
        <w:autoSpaceDE/>
        <w:autoSpaceDN/>
        <w:bidi w:val="0"/>
        <w:adjustRightInd w:val="0"/>
        <w:snapToGrid/>
        <w:spacing w:before="0" w:beforeLines="0" w:after="0" w:afterLines="0" w:line="360" w:lineRule="auto"/>
        <w:ind w:firstLine="480" w:firstLineChars="200"/>
        <w:jc w:val="left"/>
        <w:textAlignment w:val="baseline"/>
        <w:rPr>
          <w:rFonts w:hint="eastAsia" w:ascii="宋体" w:hAnsi="宋体" w:eastAsia="宋体" w:cs="宋体"/>
          <w:sz w:val="24"/>
          <w:szCs w:val="24"/>
          <w:lang w:val="en-US" w:eastAsia="zh-CN"/>
        </w:rPr>
      </w:pPr>
      <w:bookmarkStart w:id="7" w:name="_Toc16185"/>
      <w:r>
        <w:rPr>
          <w:rFonts w:hint="eastAsia" w:ascii="宋体" w:hAnsi="宋体" w:eastAsia="宋体" w:cs="宋体"/>
          <w:b w:val="0"/>
          <w:bCs w:val="0"/>
          <w:color w:val="auto"/>
          <w:sz w:val="24"/>
          <w:szCs w:val="24"/>
          <w:highlight w:val="none"/>
          <w:lang w:val="en-US" w:eastAsia="zh-CN"/>
        </w:rPr>
        <w:t>2025年11月前完成相关系统功能改造，通过2个月试运行</w:t>
      </w:r>
      <w:r>
        <w:rPr>
          <w:rFonts w:hint="eastAsia" w:ascii="宋体" w:hAnsi="宋体" w:eastAsia="宋体" w:cs="宋体"/>
          <w:sz w:val="24"/>
          <w:szCs w:val="24"/>
          <w:lang w:val="en-US" w:eastAsia="zh-CN"/>
        </w:rPr>
        <w:t>，2026年1月1日与RWA系统同步投产上线，并提供至少1年的免费维护服务。</w:t>
      </w:r>
    </w:p>
    <w:p>
      <w:pPr>
        <w:pStyle w:val="10"/>
        <w:keepNext/>
        <w:keepLines/>
        <w:pageBreakBefore w:val="0"/>
        <w:widowControl w:val="0"/>
        <w:numPr>
          <w:ilvl w:val="1"/>
          <w:numId w:val="0"/>
        </w:numPr>
        <w:kinsoku/>
        <w:wordWrap/>
        <w:overflowPunct/>
        <w:topLinePunct w:val="0"/>
        <w:autoSpaceDE/>
        <w:autoSpaceDN/>
        <w:bidi w:val="0"/>
        <w:adjustRightInd w:val="0"/>
        <w:snapToGrid/>
        <w:spacing w:before="157" w:beforeLines="50" w:after="0" w:afterLines="0" w:line="360" w:lineRule="auto"/>
        <w:ind w:left="336" w:firstLine="482" w:firstLineChars="200"/>
        <w:jc w:val="left"/>
        <w:textAlignment w:val="baseline"/>
        <w:outlineLvl w:val="1"/>
        <w:rPr>
          <w:rFonts w:hint="eastAsia" w:ascii="宋体" w:hAnsi="宋体" w:eastAsia="宋体" w:cs="宋体"/>
          <w:b/>
          <w:bCs/>
          <w:color w:val="auto"/>
          <w:sz w:val="24"/>
          <w:szCs w:val="24"/>
        </w:rPr>
      </w:pPr>
      <w:bookmarkStart w:id="8" w:name="_Toc5784"/>
      <w:r>
        <w:rPr>
          <w:rFonts w:hint="eastAsia" w:ascii="宋体" w:hAnsi="宋体" w:eastAsia="宋体" w:cs="宋体"/>
          <w:b/>
          <w:bCs/>
          <w:color w:val="auto"/>
          <w:sz w:val="24"/>
          <w:szCs w:val="24"/>
        </w:rPr>
        <w:t>二、</w:t>
      </w:r>
      <w:bookmarkEnd w:id="6"/>
      <w:r>
        <w:rPr>
          <w:rFonts w:hint="eastAsia" w:ascii="宋体" w:hAnsi="宋体" w:eastAsia="宋体" w:cs="宋体"/>
          <w:b/>
          <w:bCs/>
          <w:color w:val="auto"/>
          <w:sz w:val="24"/>
          <w:szCs w:val="24"/>
        </w:rPr>
        <w:t>服务一览表</w:t>
      </w:r>
      <w:bookmarkEnd w:id="7"/>
      <w:bookmarkEnd w:id="8"/>
    </w:p>
    <w:tbl>
      <w:tblPr>
        <w:tblStyle w:val="13"/>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76"/>
        <w:gridCol w:w="6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041" w:type="dxa"/>
            <w:gridSpan w:val="2"/>
            <w:tcBorders>
              <w:top w:val="nil"/>
              <w:left w:val="nil"/>
              <w:bottom w:val="nil"/>
              <w:right w:val="nil"/>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联合开发系统资本新规改造需求实施项目业务需求清单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需求编号</w:t>
            </w:r>
          </w:p>
        </w:tc>
        <w:tc>
          <w:tcPr>
            <w:tcW w:w="6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需求简称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XQ202409061334-001</w:t>
            </w:r>
          </w:p>
        </w:tc>
        <w:tc>
          <w:tcPr>
            <w:tcW w:w="6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内控合规与操作风险管理系统内操风损失数据子模块改造需求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XQ202412261425-001</w:t>
            </w:r>
          </w:p>
        </w:tc>
        <w:tc>
          <w:tcPr>
            <w:tcW w:w="6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资本新规实施咨询项目_RWA系统上下游系统优化改造业务需求（贸易金融部）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XQ202501101453-001</w:t>
            </w:r>
          </w:p>
        </w:tc>
        <w:tc>
          <w:tcPr>
            <w:tcW w:w="6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投资级公司、境外公共部门客户系统功能开发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XQ202501201470-001</w:t>
            </w:r>
          </w:p>
        </w:tc>
        <w:tc>
          <w:tcPr>
            <w:tcW w:w="6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资本新规项目上游系统改造——RAROC试算相关需求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XQ202501261472-001</w:t>
            </w:r>
          </w:p>
        </w:tc>
        <w:tc>
          <w:tcPr>
            <w:tcW w:w="6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资本新规项目上游系统改造——估值引擎改造需求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XQ202502131482-001</w:t>
            </w:r>
          </w:p>
        </w:tc>
        <w:tc>
          <w:tcPr>
            <w:tcW w:w="6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资本新规-客服部押品管理配套改造（含有约束力的意向性文件）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XQ202502131483-001</w:t>
            </w:r>
          </w:p>
        </w:tc>
        <w:tc>
          <w:tcPr>
            <w:tcW w:w="6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资本新规-客服部贷款和贷后管理业务改造需求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XQ202502101476-001</w:t>
            </w:r>
          </w:p>
        </w:tc>
        <w:tc>
          <w:tcPr>
            <w:tcW w:w="6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资本新规-转贷部同业客户管理配套改造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ZX202502199001-001</w:t>
            </w:r>
          </w:p>
        </w:tc>
        <w:tc>
          <w:tcPr>
            <w:tcW w:w="6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资本新规咨询项目技术支持需求</w:t>
            </w:r>
          </w:p>
        </w:tc>
      </w:tr>
    </w:tbl>
    <w:p>
      <w:pPr>
        <w:pStyle w:val="12"/>
        <w:spacing w:line="360" w:lineRule="auto"/>
        <w:rPr>
          <w:rFonts w:hint="eastAsia" w:ascii="宋体" w:hAnsi="宋体" w:eastAsia="宋体" w:cs="宋体"/>
          <w:sz w:val="24"/>
          <w:szCs w:val="24"/>
        </w:rPr>
      </w:pP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314"/>
        <w:gridCol w:w="6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66"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771"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60" w:lineRule="auto"/>
              <w:ind w:firstLine="0" w:firstLineChars="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服务</w:t>
            </w:r>
            <w:r>
              <w:rPr>
                <w:rFonts w:hint="eastAsia" w:ascii="宋体" w:hAnsi="宋体" w:eastAsia="宋体" w:cs="宋体"/>
                <w:b/>
                <w:bCs/>
                <w:color w:val="auto"/>
                <w:sz w:val="24"/>
                <w:szCs w:val="24"/>
                <w:lang w:val="en-US" w:eastAsia="zh-CN"/>
              </w:rPr>
              <w:t>内容</w:t>
            </w:r>
          </w:p>
        </w:tc>
        <w:tc>
          <w:tcPr>
            <w:tcW w:w="3762"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Lines="0" w:afterLines="0" w:line="36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主要</w:t>
            </w:r>
            <w:r>
              <w:rPr>
                <w:rFonts w:hint="eastAsia" w:ascii="宋体" w:hAnsi="宋体" w:eastAsia="宋体" w:cs="宋体"/>
                <w:b/>
                <w:bCs/>
                <w:color w:val="auto"/>
                <w:sz w:val="24"/>
                <w:szCs w:val="24"/>
                <w:lang w:val="en-US"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66" w:type="pct"/>
            <w:vMerge w:val="continue"/>
            <w:tcBorders>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360" w:lineRule="auto"/>
              <w:ind w:firstLine="480" w:firstLineChars="200"/>
              <w:jc w:val="center"/>
              <w:textAlignment w:val="auto"/>
              <w:rPr>
                <w:rFonts w:hint="eastAsia" w:ascii="宋体" w:hAnsi="宋体" w:eastAsia="宋体" w:cs="宋体"/>
                <w:color w:val="auto"/>
                <w:sz w:val="24"/>
                <w:szCs w:val="24"/>
              </w:rPr>
            </w:pPr>
          </w:p>
        </w:tc>
        <w:tc>
          <w:tcPr>
            <w:tcW w:w="771" w:type="pct"/>
            <w:vMerge w:val="continue"/>
            <w:tcBorders>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360" w:lineRule="auto"/>
              <w:ind w:firstLine="480" w:firstLineChars="200"/>
              <w:jc w:val="center"/>
              <w:textAlignment w:val="auto"/>
              <w:rPr>
                <w:rFonts w:hint="eastAsia" w:ascii="宋体" w:hAnsi="宋体" w:eastAsia="宋体" w:cs="宋体"/>
                <w:color w:val="auto"/>
                <w:sz w:val="24"/>
                <w:szCs w:val="24"/>
              </w:rPr>
            </w:pPr>
          </w:p>
        </w:tc>
        <w:tc>
          <w:tcPr>
            <w:tcW w:w="3762" w:type="pct"/>
            <w:vMerge w:val="continue"/>
            <w:tcBorders>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Lines="0" w:afterLines="0" w:line="360" w:lineRule="auto"/>
              <w:ind w:firstLine="480" w:firstLineChars="20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466" w:type="pct"/>
            <w:tcBorders>
              <w:top w:val="single" w:color="auto" w:sz="4" w:space="0"/>
              <w:left w:val="single" w:color="auto" w:sz="4" w:space="0"/>
              <w:right w:val="single" w:color="auto" w:sz="4" w:space="0"/>
            </w:tcBorders>
            <w:noWrap w:val="0"/>
            <w:vAlign w:val="center"/>
          </w:tcPr>
          <w:p>
            <w:pPr>
              <w:keepNext w:val="0"/>
              <w:keepLines w:val="0"/>
              <w:pageBreakBefore w:val="0"/>
              <w:numPr>
                <w:ilvl w:val="0"/>
                <w:numId w:val="2"/>
              </w:numPr>
              <w:tabs>
                <w:tab w:val="clear" w:pos="0"/>
              </w:tabs>
              <w:kinsoku/>
              <w:wordWrap/>
              <w:overflowPunct/>
              <w:topLinePunct w:val="0"/>
              <w:autoSpaceDE/>
              <w:autoSpaceDN/>
              <w:bidi w:val="0"/>
              <w:adjustRightInd/>
              <w:snapToGrid/>
              <w:spacing w:beforeLines="0" w:afterLines="0" w:line="360" w:lineRule="auto"/>
              <w:ind w:left="454" w:leftChars="0" w:hanging="454" w:firstLineChars="0"/>
              <w:jc w:val="center"/>
              <w:textAlignment w:val="auto"/>
              <w:rPr>
                <w:rFonts w:hint="eastAsia" w:ascii="宋体" w:hAnsi="宋体" w:eastAsia="宋体" w:cs="宋体"/>
                <w:color w:val="auto"/>
                <w:sz w:val="24"/>
                <w:szCs w:val="24"/>
              </w:rPr>
            </w:pPr>
          </w:p>
        </w:tc>
        <w:tc>
          <w:tcPr>
            <w:tcW w:w="771"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项目管理</w:t>
            </w:r>
          </w:p>
        </w:tc>
        <w:tc>
          <w:tcPr>
            <w:tcW w:w="3762" w:type="pct"/>
            <w:tcBorders>
              <w:top w:val="single" w:color="auto" w:sz="4" w:space="0"/>
              <w:left w:val="single" w:color="auto" w:sz="4" w:space="0"/>
              <w:right w:val="single" w:color="auto" w:sz="4" w:space="0"/>
            </w:tcBorders>
            <w:noWrap w:val="0"/>
            <w:vAlign w:val="center"/>
          </w:tcPr>
          <w:p>
            <w:pPr>
              <w:pStyle w:val="2"/>
              <w:widowControl/>
              <w:numPr>
                <w:ilvl w:val="0"/>
                <w:numId w:val="0"/>
              </w:numPr>
              <w:spacing w:after="0" w:line="360" w:lineRule="auto"/>
              <w:ind w:left="0" w:leftChars="0" w:firstLine="0" w:firstLineChars="0"/>
              <w:jc w:val="left"/>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配合采购人开展以下工作：</w:t>
            </w:r>
            <w:r>
              <w:rPr>
                <w:rFonts w:hint="eastAsia" w:ascii="宋体" w:hAnsi="宋体" w:eastAsia="宋体" w:cs="宋体"/>
                <w:sz w:val="24"/>
                <w:szCs w:val="24"/>
              </w:rPr>
              <w:t>制定项目计划，监督和控制项目进度</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负责</w:t>
            </w:r>
            <w:r>
              <w:rPr>
                <w:rFonts w:hint="eastAsia" w:ascii="宋体" w:hAnsi="宋体" w:eastAsia="宋体" w:cs="宋体"/>
                <w:sz w:val="24"/>
                <w:szCs w:val="24"/>
              </w:rPr>
              <w:t>管理安排项目资源</w:t>
            </w:r>
            <w:r>
              <w:rPr>
                <w:rFonts w:hint="eastAsia" w:ascii="宋体" w:hAnsi="宋体" w:eastAsia="宋体" w:cs="宋体"/>
                <w:sz w:val="24"/>
                <w:szCs w:val="24"/>
                <w:lang w:val="en-US" w:eastAsia="zh-CN"/>
              </w:rPr>
              <w:t>；开展</w:t>
            </w:r>
            <w:r>
              <w:rPr>
                <w:rFonts w:hint="eastAsia" w:ascii="宋体" w:hAnsi="宋体" w:eastAsia="宋体" w:cs="宋体"/>
                <w:sz w:val="24"/>
                <w:szCs w:val="24"/>
              </w:rPr>
              <w:t>实施项目配置和交付管理以及项目质量管理</w:t>
            </w:r>
            <w:r>
              <w:rPr>
                <w:rFonts w:hint="eastAsia" w:ascii="宋体" w:hAnsi="宋体" w:eastAsia="宋体" w:cs="宋体"/>
                <w:sz w:val="24"/>
                <w:szCs w:val="24"/>
                <w:lang w:val="en-US" w:eastAsia="zh-CN"/>
              </w:rPr>
              <w:t>；开展</w:t>
            </w:r>
            <w:r>
              <w:rPr>
                <w:rFonts w:hint="eastAsia" w:ascii="宋体" w:hAnsi="宋体" w:eastAsia="宋体" w:cs="宋体"/>
                <w:sz w:val="24"/>
                <w:szCs w:val="24"/>
              </w:rPr>
              <w:t>项目问题管理和项目风险管理</w:t>
            </w:r>
            <w:r>
              <w:rPr>
                <w:rFonts w:hint="eastAsia" w:ascii="宋体" w:hAnsi="宋体" w:eastAsia="宋体" w:cs="宋体"/>
                <w:sz w:val="24"/>
                <w:szCs w:val="24"/>
                <w:lang w:val="en-US" w:eastAsia="zh-CN"/>
              </w:rPr>
              <w:t>；</w:t>
            </w:r>
            <w:r>
              <w:rPr>
                <w:rFonts w:hint="eastAsia" w:ascii="宋体" w:hAnsi="宋体" w:eastAsia="宋体" w:cs="宋体"/>
                <w:sz w:val="24"/>
                <w:szCs w:val="24"/>
              </w:rPr>
              <w:t>按照要求</w:t>
            </w:r>
            <w:r>
              <w:rPr>
                <w:rFonts w:hint="eastAsia" w:ascii="宋体" w:hAnsi="宋体" w:eastAsia="宋体" w:cs="宋体"/>
                <w:sz w:val="24"/>
                <w:szCs w:val="24"/>
                <w:lang w:val="en-US" w:eastAsia="zh-CN"/>
              </w:rPr>
              <w:t>定期</w:t>
            </w:r>
            <w:r>
              <w:rPr>
                <w:rFonts w:hint="eastAsia" w:ascii="宋体" w:hAnsi="宋体" w:eastAsia="宋体" w:cs="宋体"/>
                <w:sz w:val="24"/>
                <w:szCs w:val="24"/>
              </w:rPr>
              <w:t>进行工作报告</w:t>
            </w:r>
            <w:r>
              <w:rPr>
                <w:rFonts w:hint="eastAsia" w:ascii="宋体" w:hAnsi="宋体" w:eastAsia="宋体" w:cs="宋体"/>
                <w:sz w:val="24"/>
                <w:szCs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66" w:type="pct"/>
            <w:tcBorders>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tabs>
                <w:tab w:val="clear" w:pos="0"/>
              </w:tabs>
              <w:kinsoku/>
              <w:wordWrap/>
              <w:overflowPunct/>
              <w:topLinePunct w:val="0"/>
              <w:autoSpaceDE/>
              <w:autoSpaceDN/>
              <w:bidi w:val="0"/>
              <w:adjustRightInd/>
              <w:snapToGrid/>
              <w:spacing w:beforeLines="0" w:afterLines="0" w:line="360" w:lineRule="auto"/>
              <w:ind w:left="454" w:leftChars="0" w:hanging="454" w:firstLineChars="0"/>
              <w:jc w:val="center"/>
              <w:textAlignment w:val="auto"/>
              <w:rPr>
                <w:rFonts w:hint="eastAsia" w:ascii="宋体" w:hAnsi="宋体" w:eastAsia="宋体" w:cs="宋体"/>
                <w:color w:val="auto"/>
                <w:sz w:val="24"/>
                <w:szCs w:val="24"/>
              </w:rPr>
            </w:pPr>
          </w:p>
        </w:tc>
        <w:tc>
          <w:tcPr>
            <w:tcW w:w="771" w:type="pct"/>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需求分析</w:t>
            </w:r>
          </w:p>
        </w:tc>
        <w:tc>
          <w:tcPr>
            <w:tcW w:w="3762" w:type="pct"/>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根据</w:t>
            </w:r>
            <w:r>
              <w:rPr>
                <w:rFonts w:hint="eastAsia" w:ascii="宋体" w:hAnsi="宋体" w:eastAsia="宋体" w:cs="宋体"/>
                <w:color w:val="auto"/>
                <w:sz w:val="24"/>
                <w:szCs w:val="24"/>
                <w:lang w:val="en-US" w:eastAsia="zh-CN"/>
              </w:rPr>
              <w:t>业务要求，梳理转化为业务对系统功能性和非功能性等具体要求，形成需求规格说明书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66" w:type="pct"/>
            <w:tcBorders>
              <w:left w:val="single" w:color="auto" w:sz="4" w:space="0"/>
              <w:bottom w:val="single" w:color="auto" w:sz="4" w:space="0"/>
              <w:right w:val="single" w:color="auto" w:sz="4" w:space="0"/>
            </w:tcBorders>
            <w:noWrap w:val="0"/>
            <w:vAlign w:val="center"/>
          </w:tcPr>
          <w:p>
            <w:pPr>
              <w:keepNext w:val="0"/>
              <w:keepLines w:val="0"/>
              <w:pageBreakBefore w:val="0"/>
              <w:numPr>
                <w:ilvl w:val="0"/>
                <w:numId w:val="2"/>
              </w:numPr>
              <w:tabs>
                <w:tab w:val="clear" w:pos="0"/>
              </w:tabs>
              <w:kinsoku/>
              <w:wordWrap/>
              <w:overflowPunct/>
              <w:topLinePunct w:val="0"/>
              <w:autoSpaceDE/>
              <w:autoSpaceDN/>
              <w:bidi w:val="0"/>
              <w:adjustRightInd/>
              <w:snapToGrid/>
              <w:spacing w:beforeLines="0" w:afterLines="0" w:line="360" w:lineRule="auto"/>
              <w:ind w:left="454" w:leftChars="0" w:hanging="454" w:firstLineChars="0"/>
              <w:jc w:val="center"/>
              <w:textAlignment w:val="auto"/>
              <w:rPr>
                <w:rFonts w:hint="eastAsia" w:ascii="宋体" w:hAnsi="宋体" w:eastAsia="宋体" w:cs="宋体"/>
                <w:color w:val="auto"/>
                <w:sz w:val="24"/>
                <w:szCs w:val="24"/>
              </w:rPr>
            </w:pPr>
          </w:p>
        </w:tc>
        <w:tc>
          <w:tcPr>
            <w:tcW w:w="771" w:type="pct"/>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设</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计</w:t>
            </w:r>
          </w:p>
        </w:tc>
        <w:tc>
          <w:tcPr>
            <w:tcW w:w="3762" w:type="pct"/>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完成</w:t>
            </w:r>
            <w:r>
              <w:rPr>
                <w:rFonts w:hint="eastAsia" w:ascii="宋体" w:hAnsi="宋体" w:eastAsia="宋体" w:cs="宋体"/>
                <w:color w:val="auto"/>
                <w:sz w:val="24"/>
                <w:szCs w:val="24"/>
                <w:lang w:val="en-US" w:eastAsia="zh-CN"/>
              </w:rPr>
              <w:t>相关</w:t>
            </w:r>
            <w:r>
              <w:rPr>
                <w:rFonts w:hint="eastAsia" w:ascii="宋体" w:hAnsi="宋体" w:eastAsia="宋体" w:cs="宋体"/>
                <w:color w:val="auto"/>
                <w:sz w:val="24"/>
                <w:szCs w:val="24"/>
                <w:lang w:eastAsia="zh-CN"/>
              </w:rPr>
              <w:t>物理子系统的概要设计、详细设计等相关工作，形成相应</w:t>
            </w:r>
            <w:r>
              <w:rPr>
                <w:rFonts w:hint="eastAsia" w:ascii="宋体" w:hAnsi="宋体" w:eastAsia="宋体" w:cs="宋体"/>
                <w:color w:val="auto"/>
                <w:sz w:val="24"/>
                <w:szCs w:val="24"/>
                <w:lang w:val="en-US" w:eastAsia="zh-CN"/>
              </w:rPr>
              <w:t>设计</w:t>
            </w:r>
            <w:r>
              <w:rPr>
                <w:rFonts w:hint="eastAsia" w:ascii="宋体" w:hAnsi="宋体" w:eastAsia="宋体" w:cs="宋体"/>
                <w:color w:val="auto"/>
                <w:sz w:val="24"/>
                <w:szCs w:val="24"/>
                <w:lang w:eastAsia="zh-CN"/>
              </w:rPr>
              <w:t>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466" w:type="pct"/>
            <w:tcBorders>
              <w:top w:val="single" w:color="auto" w:sz="4" w:space="0"/>
              <w:left w:val="single" w:color="auto" w:sz="4" w:space="0"/>
              <w:right w:val="single" w:color="auto" w:sz="4" w:space="0"/>
            </w:tcBorders>
            <w:noWrap w:val="0"/>
            <w:vAlign w:val="center"/>
          </w:tcPr>
          <w:p>
            <w:pPr>
              <w:keepNext w:val="0"/>
              <w:keepLines w:val="0"/>
              <w:pageBreakBefore w:val="0"/>
              <w:numPr>
                <w:ilvl w:val="0"/>
                <w:numId w:val="2"/>
              </w:numPr>
              <w:tabs>
                <w:tab w:val="clear" w:pos="0"/>
              </w:tabs>
              <w:kinsoku/>
              <w:wordWrap/>
              <w:overflowPunct/>
              <w:topLinePunct w:val="0"/>
              <w:autoSpaceDE/>
              <w:autoSpaceDN/>
              <w:bidi w:val="0"/>
              <w:adjustRightInd/>
              <w:snapToGrid/>
              <w:spacing w:beforeLines="0" w:afterLines="0" w:line="360" w:lineRule="auto"/>
              <w:ind w:left="454" w:leftChars="0" w:hanging="454" w:firstLineChars="0"/>
              <w:jc w:val="center"/>
              <w:textAlignment w:val="auto"/>
              <w:rPr>
                <w:rFonts w:hint="eastAsia" w:ascii="宋体" w:hAnsi="宋体" w:eastAsia="宋体" w:cs="宋体"/>
                <w:color w:val="auto"/>
                <w:sz w:val="24"/>
                <w:szCs w:val="24"/>
              </w:rPr>
            </w:pPr>
          </w:p>
        </w:tc>
        <w:tc>
          <w:tcPr>
            <w:tcW w:w="771"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  发</w:t>
            </w:r>
          </w:p>
        </w:tc>
        <w:tc>
          <w:tcPr>
            <w:tcW w:w="3762"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根据功能设计按计划完成开发，实现设计功能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完成单元测试等工作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466" w:type="pct"/>
            <w:tcBorders>
              <w:top w:val="single" w:color="auto" w:sz="4" w:space="0"/>
              <w:left w:val="single" w:color="auto" w:sz="4" w:space="0"/>
              <w:right w:val="single" w:color="auto" w:sz="4" w:space="0"/>
            </w:tcBorders>
            <w:noWrap w:val="0"/>
            <w:vAlign w:val="center"/>
          </w:tcPr>
          <w:p>
            <w:pPr>
              <w:keepNext w:val="0"/>
              <w:keepLines w:val="0"/>
              <w:pageBreakBefore w:val="0"/>
              <w:numPr>
                <w:ilvl w:val="0"/>
                <w:numId w:val="2"/>
              </w:numPr>
              <w:tabs>
                <w:tab w:val="clear" w:pos="0"/>
              </w:tabs>
              <w:kinsoku/>
              <w:wordWrap/>
              <w:overflowPunct/>
              <w:topLinePunct w:val="0"/>
              <w:autoSpaceDE/>
              <w:autoSpaceDN/>
              <w:bidi w:val="0"/>
              <w:adjustRightInd/>
              <w:snapToGrid/>
              <w:spacing w:beforeLines="0" w:afterLines="0" w:line="360" w:lineRule="auto"/>
              <w:ind w:left="454" w:leftChars="0" w:hanging="454" w:firstLineChars="0"/>
              <w:jc w:val="center"/>
              <w:textAlignment w:val="auto"/>
              <w:rPr>
                <w:rFonts w:hint="eastAsia" w:ascii="宋体" w:hAnsi="宋体" w:eastAsia="宋体" w:cs="宋体"/>
                <w:color w:val="auto"/>
                <w:sz w:val="24"/>
                <w:szCs w:val="24"/>
              </w:rPr>
            </w:pPr>
          </w:p>
        </w:tc>
        <w:tc>
          <w:tcPr>
            <w:tcW w:w="771"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测  试</w:t>
            </w:r>
          </w:p>
        </w:tc>
        <w:tc>
          <w:tcPr>
            <w:tcW w:w="3762"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开展产品、系统集成等测试工作，包括测试计划、准备和执行，完成测试案例、脚本及数据的编制和准备，及时组织系统修补和必要的回归测试，形成测试报告；协助开展用户验收测试相关工作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466" w:type="pct"/>
            <w:tcBorders>
              <w:top w:val="single" w:color="auto" w:sz="4" w:space="0"/>
              <w:left w:val="single" w:color="auto" w:sz="4" w:space="0"/>
              <w:right w:val="single" w:color="auto" w:sz="4" w:space="0"/>
            </w:tcBorders>
            <w:noWrap w:val="0"/>
            <w:vAlign w:val="center"/>
          </w:tcPr>
          <w:p>
            <w:pPr>
              <w:keepNext w:val="0"/>
              <w:keepLines w:val="0"/>
              <w:pageBreakBefore w:val="0"/>
              <w:numPr>
                <w:ilvl w:val="0"/>
                <w:numId w:val="2"/>
              </w:numPr>
              <w:tabs>
                <w:tab w:val="clear" w:pos="0"/>
              </w:tabs>
              <w:kinsoku/>
              <w:wordWrap/>
              <w:overflowPunct/>
              <w:topLinePunct w:val="0"/>
              <w:autoSpaceDE/>
              <w:autoSpaceDN/>
              <w:bidi w:val="0"/>
              <w:adjustRightInd/>
              <w:snapToGrid/>
              <w:spacing w:beforeLines="0" w:afterLines="0" w:line="360" w:lineRule="auto"/>
              <w:ind w:left="454" w:leftChars="0" w:hanging="454" w:firstLineChars="0"/>
              <w:jc w:val="center"/>
              <w:textAlignment w:val="auto"/>
              <w:rPr>
                <w:rFonts w:hint="eastAsia" w:ascii="宋体" w:hAnsi="宋体" w:eastAsia="宋体" w:cs="宋体"/>
                <w:color w:val="auto"/>
                <w:sz w:val="24"/>
                <w:szCs w:val="24"/>
              </w:rPr>
            </w:pPr>
          </w:p>
        </w:tc>
        <w:tc>
          <w:tcPr>
            <w:tcW w:w="771"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投产运维</w:t>
            </w:r>
          </w:p>
        </w:tc>
        <w:tc>
          <w:tcPr>
            <w:tcW w:w="3762"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为系统投产演练和投产上线等提供必要支持，包括但不限于各类方案计划和流程策略的制定、现场人员支持及运维培训等工作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66" w:type="pct"/>
            <w:tcBorders>
              <w:top w:val="single" w:color="auto" w:sz="4" w:space="0"/>
              <w:left w:val="single" w:color="auto" w:sz="4" w:space="0"/>
              <w:right w:val="single" w:color="auto" w:sz="4" w:space="0"/>
            </w:tcBorders>
            <w:noWrap w:val="0"/>
            <w:vAlign w:val="center"/>
          </w:tcPr>
          <w:p>
            <w:pPr>
              <w:keepNext w:val="0"/>
              <w:keepLines w:val="0"/>
              <w:pageBreakBefore w:val="0"/>
              <w:numPr>
                <w:ilvl w:val="0"/>
                <w:numId w:val="2"/>
              </w:numPr>
              <w:tabs>
                <w:tab w:val="clear" w:pos="0"/>
              </w:tabs>
              <w:kinsoku/>
              <w:wordWrap/>
              <w:overflowPunct/>
              <w:topLinePunct w:val="0"/>
              <w:autoSpaceDE/>
              <w:autoSpaceDN/>
              <w:bidi w:val="0"/>
              <w:adjustRightInd/>
              <w:snapToGrid/>
              <w:spacing w:beforeLines="0" w:afterLines="0" w:line="360" w:lineRule="auto"/>
              <w:ind w:left="454" w:leftChars="0" w:hanging="454" w:firstLineChars="0"/>
              <w:jc w:val="center"/>
              <w:textAlignment w:val="auto"/>
              <w:rPr>
                <w:rFonts w:hint="eastAsia" w:ascii="宋体" w:hAnsi="宋体" w:eastAsia="宋体" w:cs="宋体"/>
                <w:color w:val="auto"/>
                <w:sz w:val="24"/>
                <w:szCs w:val="24"/>
              </w:rPr>
            </w:pPr>
          </w:p>
        </w:tc>
        <w:tc>
          <w:tcPr>
            <w:tcW w:w="771"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培  训</w:t>
            </w:r>
          </w:p>
        </w:tc>
        <w:tc>
          <w:tcPr>
            <w:tcW w:w="3762"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lang w:val="en-US" w:eastAsia="zh-CN"/>
              </w:rPr>
              <w:t>通过必要培训使采购人相关人员熟悉系统内容和功能，以及使用权限划分与操作方式，包括系统架构、部署运维、参数配置等内容；提供完备的培训材料</w:t>
            </w:r>
          </w:p>
        </w:tc>
      </w:tr>
    </w:tbl>
    <w:p>
      <w:pPr>
        <w:pStyle w:val="10"/>
        <w:keepNext/>
        <w:keepLines/>
        <w:pageBreakBefore w:val="0"/>
        <w:widowControl w:val="0"/>
        <w:numPr>
          <w:ilvl w:val="0"/>
          <w:numId w:val="3"/>
        </w:numPr>
        <w:kinsoku/>
        <w:wordWrap/>
        <w:overflowPunct/>
        <w:topLinePunct w:val="0"/>
        <w:autoSpaceDE/>
        <w:autoSpaceDN/>
        <w:bidi w:val="0"/>
        <w:adjustRightInd w:val="0"/>
        <w:snapToGrid/>
        <w:spacing w:before="157" w:beforeLines="50" w:after="0" w:afterLines="0" w:line="360" w:lineRule="auto"/>
        <w:ind w:firstLine="482" w:firstLineChars="200"/>
        <w:jc w:val="left"/>
        <w:textAlignment w:val="baseline"/>
        <w:outlineLvl w:val="1"/>
        <w:rPr>
          <w:rFonts w:hint="eastAsia" w:ascii="宋体" w:hAnsi="宋体" w:eastAsia="宋体" w:cs="宋体"/>
          <w:b/>
          <w:bCs/>
          <w:color w:val="auto"/>
          <w:sz w:val="24"/>
          <w:szCs w:val="24"/>
          <w:lang w:val="en-US" w:eastAsia="zh-CN"/>
        </w:rPr>
      </w:pPr>
      <w:bookmarkStart w:id="9" w:name="_Toc2791"/>
      <w:bookmarkStart w:id="10" w:name="_Toc628"/>
      <w:r>
        <w:rPr>
          <w:rFonts w:hint="eastAsia" w:ascii="宋体" w:hAnsi="宋体" w:eastAsia="宋体" w:cs="宋体"/>
          <w:b/>
          <w:bCs/>
          <w:color w:val="auto"/>
          <w:sz w:val="24"/>
          <w:szCs w:val="24"/>
          <w:lang w:val="en-US" w:eastAsia="zh-CN"/>
        </w:rPr>
        <w:t>业务要求</w:t>
      </w:r>
      <w:bookmarkEnd w:id="9"/>
    </w:p>
    <w:p>
      <w:pPr>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2025年11月前完成系统功能改造，2026年1月1日投产上线为项目时间刚性约束。各业务需求说明书中对需求提出了详细了业务要求和调整内容。具体需求清单见附件。</w:t>
      </w:r>
    </w:p>
    <w:p>
      <w:pPr>
        <w:pStyle w:val="10"/>
        <w:keepNext/>
        <w:keepLines/>
        <w:pageBreakBefore w:val="0"/>
        <w:widowControl w:val="0"/>
        <w:numPr>
          <w:ilvl w:val="0"/>
          <w:numId w:val="3"/>
        </w:numPr>
        <w:kinsoku/>
        <w:wordWrap/>
        <w:overflowPunct/>
        <w:topLinePunct w:val="0"/>
        <w:autoSpaceDE/>
        <w:autoSpaceDN/>
        <w:bidi w:val="0"/>
        <w:adjustRightInd w:val="0"/>
        <w:snapToGrid/>
        <w:spacing w:before="157" w:beforeLines="50" w:after="0" w:afterLines="0" w:line="360" w:lineRule="auto"/>
        <w:ind w:firstLine="482" w:firstLineChars="200"/>
        <w:jc w:val="both"/>
        <w:textAlignment w:val="baseline"/>
        <w:outlineLvl w:val="1"/>
        <w:rPr>
          <w:rFonts w:hint="eastAsia" w:ascii="宋体" w:hAnsi="宋体" w:eastAsia="宋体" w:cs="宋体"/>
          <w:b/>
          <w:bCs/>
          <w:color w:val="auto"/>
          <w:sz w:val="24"/>
          <w:szCs w:val="24"/>
          <w:lang w:val="en-US" w:eastAsia="zh-CN"/>
        </w:rPr>
      </w:pPr>
      <w:bookmarkStart w:id="11" w:name="_Toc24978"/>
      <w:r>
        <w:rPr>
          <w:rFonts w:hint="eastAsia" w:ascii="宋体" w:hAnsi="宋体" w:eastAsia="宋体" w:cs="宋体"/>
          <w:b/>
          <w:bCs/>
          <w:color w:val="auto"/>
          <w:sz w:val="24"/>
          <w:szCs w:val="24"/>
          <w:lang w:val="en-US" w:eastAsia="zh-CN"/>
        </w:rPr>
        <w:t>技术要求</w:t>
      </w:r>
      <w:bookmarkEnd w:id="11"/>
    </w:p>
    <w:p>
      <w:pPr>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保持现有系统整体架构和稳定运行的基础上，结合RWA系统建设总体要求，对各项需求进行合理架构初分，各物理子系统按照涉及需求的关联依赖情况，科学设计系统功能改造方案，确定实施计划安排，确保系统功能切分清晰，底层逻辑准确，业务流程顺畅。</w:t>
      </w:r>
    </w:p>
    <w:p>
      <w:pPr>
        <w:pStyle w:val="10"/>
        <w:keepNext/>
        <w:keepLines/>
        <w:pageBreakBefore w:val="0"/>
        <w:widowControl w:val="0"/>
        <w:numPr>
          <w:ilvl w:val="1"/>
          <w:numId w:val="0"/>
        </w:numPr>
        <w:kinsoku/>
        <w:wordWrap/>
        <w:overflowPunct/>
        <w:topLinePunct w:val="0"/>
        <w:autoSpaceDE/>
        <w:autoSpaceDN/>
        <w:bidi w:val="0"/>
        <w:adjustRightInd w:val="0"/>
        <w:snapToGrid/>
        <w:spacing w:before="157" w:beforeLines="50" w:after="0" w:afterLines="0" w:line="360" w:lineRule="auto"/>
        <w:ind w:left="336" w:firstLine="482" w:firstLineChars="200"/>
        <w:jc w:val="both"/>
        <w:textAlignment w:val="baseline"/>
        <w:outlineLvl w:val="1"/>
        <w:rPr>
          <w:rFonts w:hint="eastAsia" w:ascii="宋体" w:hAnsi="宋体" w:eastAsia="宋体" w:cs="宋体"/>
          <w:b/>
          <w:bCs/>
          <w:color w:val="auto"/>
          <w:sz w:val="24"/>
          <w:szCs w:val="24"/>
        </w:rPr>
      </w:pPr>
      <w:bookmarkStart w:id="12" w:name="_Toc12222"/>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、服务要求</w:t>
      </w:r>
      <w:bookmarkEnd w:id="10"/>
      <w:bookmarkEnd w:id="12"/>
    </w:p>
    <w:p>
      <w:pPr>
        <w:pStyle w:val="7"/>
        <w:pageBreakBefore w:val="0"/>
        <w:numPr>
          <w:ilvl w:val="0"/>
          <w:numId w:val="0"/>
        </w:numPr>
        <w:kinsoku/>
        <w:overflowPunct/>
        <w:topLinePunct w:val="0"/>
        <w:autoSpaceDE/>
        <w:autoSpaceDN/>
        <w:bidi w:val="0"/>
        <w:adjustRightInd w:val="0"/>
        <w:snapToGrid/>
        <w:spacing w:beforeLines="0" w:afterLines="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一</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服务</w:t>
      </w:r>
      <w:r>
        <w:rPr>
          <w:rFonts w:hint="eastAsia" w:ascii="宋体" w:hAnsi="宋体" w:eastAsia="宋体" w:cs="宋体"/>
          <w:color w:val="auto"/>
          <w:sz w:val="24"/>
          <w:szCs w:val="24"/>
          <w:highlight w:val="none"/>
          <w:lang w:val="en-US" w:eastAsia="zh-CN"/>
        </w:rPr>
        <w:t>要求</w:t>
      </w:r>
    </w:p>
    <w:p>
      <w:pPr>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bookmarkStart w:id="13" w:name="_Toc36545096"/>
      <w:r>
        <w:rPr>
          <w:rFonts w:hint="eastAsia" w:ascii="宋体" w:hAnsi="宋体" w:eastAsia="宋体" w:cs="宋体"/>
          <w:color w:val="auto"/>
          <w:sz w:val="24"/>
          <w:szCs w:val="24"/>
          <w:lang w:val="en-US" w:eastAsia="zh-CN"/>
        </w:rPr>
        <w:t>1.总体要求</w:t>
      </w:r>
    </w:p>
    <w:p>
      <w:pPr>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应确保采购人享有对核心产品软件系统拥有永久的、不可撤销的、不可转让的修改权、复制权及其他使用权，以及对客户化软件及核心产品软件系统中客户化部分的全部知识产权。为实现上述目的，供应商应向采购人提供客户化软件及核心产品系统中客户化部分的目标程序及全部源代码，以及核心产品软件的目标程序及全部源代码。</w:t>
      </w:r>
    </w:p>
    <w:p>
      <w:pPr>
        <w:pageBreakBefore w:val="0"/>
        <w:widowControl/>
        <w:kinsoku/>
        <w:overflowPunct/>
        <w:topLinePunct w:val="0"/>
        <w:autoSpaceDE/>
        <w:autoSpaceDN/>
        <w:bidi w:val="0"/>
        <w:snapToGrid/>
        <w:spacing w:beforeLines="0" w:afterLines="0" w:line="360" w:lineRule="auto"/>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保证能够满足项目实施全生命周期中对开发、测试的要求，并支持通过开发实现对未来业务和技术功能的扩展。</w:t>
      </w:r>
    </w:p>
    <w:p>
      <w:pPr>
        <w:pageBreakBefore w:val="0"/>
        <w:widowControl/>
        <w:kinsoku/>
        <w:overflowPunct/>
        <w:topLinePunct w:val="0"/>
        <w:autoSpaceDE/>
        <w:autoSpaceDN/>
        <w:bidi w:val="0"/>
        <w:snapToGrid/>
        <w:spacing w:beforeLines="0" w:afterLines="0" w:line="360" w:lineRule="auto"/>
        <w:ind w:left="0" w:leftChars="0"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为项目配备具有相关资质、技能和经验的技术服务人员，提供所需的信息技术服务。在人员供给方面，应高效及时提供满足采购人要求的高质量人力资源，并且公司应该具备此类人力资源的储备，保证满足采购人各项业务需求的开发质量及时间要求。在人员稳定性方面，应有效保障服务队伍的稳定性，以确保服务质量。在人员培训方面，应定期对服务人员进行内部培训，以使人员不断补充提高服务技能。</w:t>
      </w:r>
    </w:p>
    <w:bookmarkEnd w:id="13"/>
    <w:p>
      <w:pPr>
        <w:keepNext w:val="0"/>
        <w:keepLines w:val="0"/>
        <w:pageBreakBefore w:val="0"/>
        <w:widowControl/>
        <w:kinsoku/>
        <w:wordWrap/>
        <w:overflowPunct/>
        <w:topLinePunct w:val="0"/>
        <w:autoSpaceDE/>
        <w:autoSpaceDN/>
        <w:bidi w:val="0"/>
        <w:adjustRightInd/>
        <w:snapToGrid/>
        <w:spacing w:beforeLines="0" w:afterLines="0" w:line="360" w:lineRule="auto"/>
        <w:ind w:left="0" w:leftChars="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通过电话、电子邮件、传真等</w:t>
      </w:r>
      <w:r>
        <w:rPr>
          <w:rFonts w:hint="eastAsia" w:ascii="宋体" w:hAnsi="宋体" w:eastAsia="宋体" w:cs="宋体"/>
          <w:color w:val="auto"/>
          <w:sz w:val="24"/>
          <w:szCs w:val="24"/>
          <w:lang w:val="en-US" w:eastAsia="zh-CN"/>
        </w:rPr>
        <w:t>可能必要</w:t>
      </w:r>
      <w:r>
        <w:rPr>
          <w:rFonts w:hint="eastAsia" w:ascii="宋体" w:hAnsi="宋体" w:eastAsia="宋体" w:cs="宋体"/>
          <w:color w:val="auto"/>
          <w:sz w:val="24"/>
          <w:szCs w:val="24"/>
        </w:rPr>
        <w:t>方式向</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提供远程技术支持，</w:t>
      </w:r>
      <w:r>
        <w:rPr>
          <w:rFonts w:hint="eastAsia" w:ascii="宋体" w:hAnsi="宋体" w:eastAsia="宋体" w:cs="宋体"/>
          <w:color w:val="auto"/>
          <w:sz w:val="24"/>
          <w:szCs w:val="24"/>
          <w:lang w:val="en-US" w:eastAsia="zh-CN"/>
        </w:rPr>
        <w:t>及时</w:t>
      </w:r>
      <w:r>
        <w:rPr>
          <w:rFonts w:hint="eastAsia" w:ascii="宋体" w:hAnsi="宋体" w:eastAsia="宋体" w:cs="宋体"/>
          <w:color w:val="auto"/>
          <w:sz w:val="24"/>
          <w:szCs w:val="24"/>
        </w:rPr>
        <w:t>响应</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服务请求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必要时协商提供人员现场服务支持</w:t>
      </w:r>
      <w:r>
        <w:rPr>
          <w:rFonts w:hint="eastAsia" w:ascii="宋体" w:hAnsi="宋体" w:eastAsia="宋体" w:cs="宋体"/>
          <w:color w:val="auto"/>
          <w:sz w:val="24"/>
          <w:szCs w:val="24"/>
          <w:lang w:eastAsia="zh-CN"/>
        </w:rPr>
        <w:t>。</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2.服务指标</w:t>
      </w:r>
    </w:p>
    <w:p>
      <w:pPr>
        <w:pStyle w:val="7"/>
        <w:numPr>
          <w:ilvl w:val="0"/>
          <w:numId w:val="0"/>
        </w:numPr>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服务要求根据重要性分为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和一般性指标。★代表实质性要求，不满足该指标项将导致投标被拒绝，＃代表重要性参数，无标识则表示一般指标项。</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330"/>
        <w:gridCol w:w="719"/>
        <w:gridCol w:w="5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noWrap w:val="0"/>
            <w:vAlign w:val="top"/>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780" w:type="pct"/>
            <w:noWrap w:val="0"/>
            <w:vAlign w:val="top"/>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服务要求项目</w:t>
            </w:r>
          </w:p>
        </w:tc>
        <w:tc>
          <w:tcPr>
            <w:tcW w:w="422" w:type="pct"/>
            <w:noWrap w:val="0"/>
            <w:vAlign w:val="top"/>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重要性</w:t>
            </w:r>
          </w:p>
        </w:tc>
        <w:tc>
          <w:tcPr>
            <w:tcW w:w="3433" w:type="pct"/>
            <w:noWrap w:val="0"/>
            <w:vAlign w:val="center"/>
          </w:tcPr>
          <w:p>
            <w:pPr>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服务要求标准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6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78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eastAsia="zh-CN"/>
              </w:rPr>
              <w:t>产品要求</w:t>
            </w:r>
          </w:p>
        </w:tc>
        <w:tc>
          <w:tcPr>
            <w:tcW w:w="422" w:type="pct"/>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3433"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要求乙方必须对</w:t>
            </w:r>
            <w:r>
              <w:rPr>
                <w:rFonts w:hint="eastAsia" w:ascii="宋体" w:hAnsi="宋体" w:eastAsia="宋体" w:cs="宋体"/>
                <w:sz w:val="24"/>
                <w:szCs w:val="24"/>
                <w:highlight w:val="none"/>
                <w:lang w:val="en-US" w:eastAsia="zh-CN"/>
              </w:rPr>
              <w:t>本项目涉及的</w:t>
            </w:r>
            <w:r>
              <w:rPr>
                <w:rFonts w:hint="eastAsia" w:ascii="宋体" w:hAnsi="宋体" w:eastAsia="宋体" w:cs="宋体"/>
                <w:sz w:val="24"/>
                <w:szCs w:val="24"/>
                <w:highlight w:val="none"/>
              </w:rPr>
              <w:t>产品拥有完全的知识产权；使用非自身产品的，必须有原厂商对该产品的授权经销商或者有原厂商对本项目的书面授权。（第三方授权有关信息应明确告知</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，包括被授权产品名称，授权方式，授权期限、授权费等）</w:t>
            </w:r>
            <w:r>
              <w:rPr>
                <w:rFonts w:hint="eastAsia" w:ascii="宋体" w:hAnsi="宋体" w:eastAsia="宋体" w:cs="宋体"/>
                <w:sz w:val="24"/>
                <w:szCs w:val="24"/>
                <w:highlight w:val="none"/>
                <w:lang w:eastAsia="zh-CN"/>
              </w:rPr>
              <w:t>。向采购人提供客户化软件及核心产品系统中客户化部分的目标程序及全部源代码，以及核心产品软件的目标程序及全部源代码。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78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故障处理</w:t>
            </w:r>
          </w:p>
        </w:tc>
        <w:tc>
          <w:tcPr>
            <w:tcW w:w="422" w:type="pct"/>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p>
        </w:tc>
        <w:tc>
          <w:tcPr>
            <w:tcW w:w="3433" w:type="pct"/>
            <w:noWrap w:val="0"/>
            <w:vAlign w:val="top"/>
          </w:tcPr>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val="en-US"/>
              </w:rPr>
              <w:t>通过标准化的操作流程进行软件的故障诊断和排除；配合其他条线进行故障处理。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响应时限：（&lt;</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val="en-US"/>
              </w:rPr>
              <w:t>）</w:t>
            </w:r>
            <w:r>
              <w:rPr>
                <w:rFonts w:hint="eastAsia" w:ascii="宋体" w:hAnsi="宋体" w:eastAsia="宋体" w:cs="宋体"/>
                <w:sz w:val="24"/>
                <w:szCs w:val="24"/>
                <w:highlight w:val="none"/>
                <w:lang w:val="en-US" w:eastAsia="zh-CN"/>
              </w:rPr>
              <w:t>分钟</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到达现场时限：（&lt;2）小时</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解决问题时限：（&lt;4）小时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36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78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总体要求</w:t>
            </w:r>
          </w:p>
        </w:tc>
        <w:tc>
          <w:tcPr>
            <w:tcW w:w="422" w:type="pct"/>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p>
        </w:tc>
        <w:tc>
          <w:tcPr>
            <w:tcW w:w="3433" w:type="pct"/>
            <w:noWrap w:val="0"/>
            <w:vAlign w:val="top"/>
          </w:tcPr>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针对进出口银行业务特点阐述系统实施方法论，并结合方法论，描述完整、可行的系统整体技术方案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实施方案，包括但不限于项目管理、需求确认、系统设计、系统开发、系统测试、系统切换、系统推广等方案，以及试运行策略。</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要求完成项目实施、测试及系统投产</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工作，并阐述系统的项目整体技术方案、实施方案、测试方案、系统投产方案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根据需要附相应模板。对于其中进出口银行有模板要求的交付件，应使用要求的模版进行编写。</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阐述项目实施的组织架构（其中应包含进出口银行人员），并描述实施预期的时间进度表，提供具有明确里程碑的项目实施计划。</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要求提供初步的验收测试计划以及充分的验收标准，并提供系统集成测试和投产测试的测试方案、测试案例和测试工具。</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厂商在本项目实施过程中，须服从进出口银行项目管理机构的管理。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要求厂商提供本项目中所有交付物清单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包括但不限于项目文档、产品技术文档</w:t>
            </w:r>
            <w:r>
              <w:rPr>
                <w:rFonts w:hint="eastAsia" w:ascii="宋体" w:hAnsi="宋体" w:eastAsia="宋体" w:cs="宋体"/>
                <w:sz w:val="24"/>
                <w:szCs w:val="24"/>
                <w:highlight w:val="none"/>
                <w:lang w:eastAsia="zh-CN"/>
              </w:rPr>
              <w:t>（包括</w:t>
            </w:r>
            <w:r>
              <w:rPr>
                <w:rFonts w:hint="eastAsia" w:ascii="宋体" w:hAnsi="宋体" w:eastAsia="宋体" w:cs="宋体"/>
                <w:sz w:val="24"/>
                <w:szCs w:val="24"/>
                <w:highlight w:val="none"/>
                <w:lang w:val="en-US" w:eastAsia="zh-CN"/>
              </w:rPr>
              <w:t>平台/系统相关的接口和集成技术规范、设计规范等规范类文件，与整体技术方案一并纳入评审范围。如需外部专家参加评审的，乙方负责外部专家评审费用）</w:t>
            </w:r>
            <w:r>
              <w:rPr>
                <w:rFonts w:hint="eastAsia" w:ascii="宋体" w:hAnsi="宋体" w:eastAsia="宋体" w:cs="宋体"/>
                <w:sz w:val="24"/>
                <w:szCs w:val="24"/>
                <w:highlight w:val="none"/>
              </w:rPr>
              <w:t>、用户手册和系统管理手册。</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阐述系统故障应急预案，确保系统在突发状况后能够及时发现，补救，恢复。</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如有涉及第三方产品及服务，阐述相关产品及服务内容，报价及后期维护方式和费用。</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在技术方案评审阶段，提供软件物料清单，如涉及开源软件引入和使用的，应按照</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要求开展引入评审和使用备案后方可使用。提供后续对开源软件的维护及升级支持，纳入维保范围。</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项目所涉及系统的升级改造应遵循</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企业级架构原则进行系统设计，制定系统架构方案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并综合考虑采购人国产化替代工作情况</w:t>
            </w:r>
            <w:r>
              <w:rPr>
                <w:rFonts w:hint="eastAsia" w:ascii="宋体" w:hAnsi="宋体" w:eastAsia="宋体" w:cs="宋体"/>
                <w:sz w:val="24"/>
                <w:szCs w:val="24"/>
                <w:highlight w:val="none"/>
              </w:rPr>
              <w:t>。包括但不限于按照</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联机、批量、消息等接口标准与行内系统进行交互；可对接</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统一的用户认证系统，平台内部应用实现单点登录功能；Web页面应基于chrome内核浏览器进行开发等。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6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78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项目实施要求</w:t>
            </w:r>
          </w:p>
        </w:tc>
        <w:tc>
          <w:tcPr>
            <w:tcW w:w="422" w:type="pct"/>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p>
        </w:tc>
        <w:tc>
          <w:tcPr>
            <w:tcW w:w="3433" w:type="pct"/>
            <w:noWrap w:val="0"/>
            <w:vAlign w:val="top"/>
          </w:tcPr>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以下列出了本项目实施过程中重要的实施任务，</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应承诺完成所有实施任务，并遵守其中相关约定。相关要求参照项目工作说明书。</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（一）项目管理</w:t>
            </w:r>
            <w:r>
              <w:rPr>
                <w:rFonts w:hint="eastAsia" w:ascii="宋体" w:hAnsi="宋体" w:eastAsia="宋体" w:cs="宋体"/>
                <w:sz w:val="24"/>
                <w:szCs w:val="24"/>
                <w:highlight w:val="none"/>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负责制定项目计划，并按照进出口银行的要求进行必要的调整。监督和控制项目进度。</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负责</w:t>
            </w:r>
            <w:r>
              <w:rPr>
                <w:rFonts w:hint="eastAsia" w:ascii="宋体" w:hAnsi="宋体" w:eastAsia="宋体" w:cs="宋体"/>
                <w:sz w:val="24"/>
                <w:szCs w:val="24"/>
                <w:highlight w:val="none"/>
              </w:rPr>
              <w:t>管理安排项目资源。</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w:t>
            </w:r>
            <w:r>
              <w:rPr>
                <w:rFonts w:hint="eastAsia" w:ascii="宋体" w:hAnsi="宋体" w:eastAsia="宋体" w:cs="宋体"/>
                <w:sz w:val="24"/>
                <w:szCs w:val="24"/>
                <w:highlight w:val="none"/>
                <w:lang w:val="en-US" w:eastAsia="zh-CN"/>
              </w:rPr>
              <w:t>配合</w:t>
            </w:r>
            <w:r>
              <w:rPr>
                <w:rFonts w:hint="eastAsia" w:ascii="宋体" w:hAnsi="宋体" w:eastAsia="宋体" w:cs="宋体"/>
                <w:sz w:val="24"/>
                <w:szCs w:val="24"/>
                <w:highlight w:val="none"/>
              </w:rPr>
              <w:t>管理项目的各项任务执行、人力资源、相互工作配合与交付承诺。</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w:t>
            </w:r>
            <w:r>
              <w:rPr>
                <w:rFonts w:hint="eastAsia" w:ascii="宋体" w:hAnsi="宋体" w:eastAsia="宋体" w:cs="宋体"/>
                <w:sz w:val="24"/>
                <w:szCs w:val="24"/>
                <w:highlight w:val="none"/>
                <w:lang w:val="en-US" w:eastAsia="zh-CN"/>
              </w:rPr>
              <w:t>配合</w:t>
            </w:r>
            <w:r>
              <w:rPr>
                <w:rFonts w:hint="eastAsia" w:ascii="宋体" w:hAnsi="宋体" w:eastAsia="宋体" w:cs="宋体"/>
                <w:sz w:val="24"/>
                <w:szCs w:val="24"/>
                <w:highlight w:val="none"/>
              </w:rPr>
              <w:t>管理项目范围和需求变更，并协调变更要求的签署。</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负责实施项目配置和交付管理以及项目质量管理。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负责项目问题管理和项目风险管理。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负责与进出口银行进行沟通并按照要求进行工作报告。</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（二）业务功能分析和设计</w:t>
            </w:r>
            <w:r>
              <w:rPr>
                <w:rFonts w:hint="eastAsia" w:ascii="宋体" w:hAnsi="宋体" w:eastAsia="宋体" w:cs="宋体"/>
                <w:sz w:val="24"/>
                <w:szCs w:val="24"/>
                <w:highlight w:val="none"/>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负责对本项目需求梳理细化。</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负责业务需求差异分析和评估。</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负责业务功能分析和制定。</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负责编写需求规格说明书。</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负责提出与周边系统的集成解决方案。</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负责系统配置设计、界面设计、扩展功能开发设计、数据转换设计等。</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（三）技术架构分析和设计</w:t>
            </w:r>
            <w:r>
              <w:rPr>
                <w:rFonts w:hint="eastAsia" w:ascii="宋体" w:hAnsi="宋体" w:eastAsia="宋体" w:cs="宋体"/>
                <w:sz w:val="24"/>
                <w:szCs w:val="24"/>
                <w:highlight w:val="none"/>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负责制定技术架构方案。</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负责制定运维管理方案。</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负责分析接口定义并提出技术实现方案。</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负责评估与进出口银行总体技术架构的差异，并编写技术规格说明书。</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负责提出开发与测试环境的构建方案。</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负责提出生产环境的构建方案。</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负责编写技术设计说明书。</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（四）业务功能构建</w:t>
            </w:r>
            <w:r>
              <w:rPr>
                <w:rFonts w:hint="eastAsia" w:ascii="宋体" w:hAnsi="宋体" w:eastAsia="宋体" w:cs="宋体"/>
                <w:sz w:val="24"/>
                <w:szCs w:val="24"/>
                <w:highlight w:val="none"/>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负责提出参数配置模版及配置方案。</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负责进行客户化部分的详细设计，并编写详细设计说明书。</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负责接口开发、扩展功能开发、数据转换开发。</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负责计划、准备与执行单元测试。</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负责确认单元测试结果并提交单元测试报告。</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（五）技术架构构建</w:t>
            </w:r>
            <w:r>
              <w:rPr>
                <w:rFonts w:hint="eastAsia" w:ascii="宋体" w:hAnsi="宋体" w:eastAsia="宋体" w:cs="宋体"/>
                <w:sz w:val="24"/>
                <w:szCs w:val="24"/>
                <w:highlight w:val="none"/>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负责测试环境的构建与确认。</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负责就测试环境管理流程和制度与进出口银行达成一致。</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负责进行测试环境下的应用系统的安装和配置。</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（六）产品测试和性能测试</w:t>
            </w:r>
            <w:r>
              <w:rPr>
                <w:rFonts w:hint="eastAsia" w:ascii="宋体" w:hAnsi="宋体" w:eastAsia="宋体" w:cs="宋体"/>
                <w:sz w:val="24"/>
                <w:szCs w:val="24"/>
                <w:highlight w:val="none"/>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负责产品测试的计划、准备和执行。</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负责系统修补，并完成产品测试报告。</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负责性能测试的计划、准备和执行。</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负责系统调优和进一步的性能测试，并负责完成性能测试报告。</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（七）系统集成测试</w:t>
            </w:r>
            <w:r>
              <w:rPr>
                <w:rFonts w:hint="eastAsia" w:ascii="宋体" w:hAnsi="宋体" w:eastAsia="宋体" w:cs="宋体"/>
                <w:sz w:val="24"/>
                <w:szCs w:val="24"/>
                <w:highlight w:val="none"/>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负责提出系统集成测试计划和方案。</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负责完成系统集成测试案例、测试脚本以及相关的测试数据。</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负责在进出口银行统一管理下执行系统集成测试，进行系统修补和必要的回归测试。</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负责完成相应的系统集成测试报告。</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（八）用户验收测试</w:t>
            </w:r>
            <w:r>
              <w:rPr>
                <w:rFonts w:hint="eastAsia" w:ascii="宋体" w:hAnsi="宋体" w:eastAsia="宋体" w:cs="宋体"/>
                <w:sz w:val="24"/>
                <w:szCs w:val="24"/>
                <w:highlight w:val="none"/>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协助提出用户验收测试计划和方案。</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协助准备用户验收测试案例、测试脚本和数据。</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协助执行用户验收测试。</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负责系统修补。</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协助进行回归测试、协助完成用户验收测试报告。</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（九）投产和推广（包括投产、试运行、正式运行、最终验收）</w:t>
            </w:r>
            <w:r>
              <w:rPr>
                <w:rFonts w:hint="eastAsia" w:ascii="宋体" w:hAnsi="宋体" w:eastAsia="宋体" w:cs="宋体"/>
                <w:sz w:val="24"/>
                <w:szCs w:val="24"/>
                <w:highlight w:val="none"/>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根据需要负责制定上线演练计划和方案。</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负责制定投产演练方案、运维测试方案，负责运维培训，配合行方完成投产演练和运维测试工作。</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在进出口银行统一管理下执行上线演练。</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负责制定投产上线范围、制定系统（数据、业务）投产上线计划。</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负责制定投产上线操作方案、流程和策略，并制定应急和恢复方案。</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负责制定试运行方案、流程和策略，并制定应急和恢复方案。</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协助进出口银行进行推广文档编制。</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协助进出口银行完成投产上线。</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支持系统试运行工作。</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协助进出口银行完成系统最终验收。</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（十）第三方测试（如</w:t>
            </w:r>
            <w:r>
              <w:rPr>
                <w:rFonts w:hint="eastAsia" w:ascii="宋体" w:hAnsi="宋体" w:eastAsia="宋体" w:cs="宋体"/>
                <w:sz w:val="24"/>
                <w:szCs w:val="24"/>
                <w:highlight w:val="none"/>
                <w:lang w:val="en-US" w:eastAsia="zh-CN"/>
              </w:rPr>
              <w:t>有</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负责准备测试对象的搭建及调试。</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负责按第三方测试要求准备测试数据。</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为第三方测试提供技术支持。</w:t>
            </w:r>
          </w:p>
          <w:p>
            <w:pPr>
              <w:pStyle w:val="2"/>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负责缺陷修复。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78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kern w:val="2"/>
                <w:sz w:val="24"/>
                <w:szCs w:val="24"/>
                <w:highlight w:val="none"/>
              </w:rPr>
              <w:t>培训及知识转移要求</w:t>
            </w:r>
          </w:p>
        </w:tc>
        <w:tc>
          <w:tcPr>
            <w:tcW w:w="422" w:type="pct"/>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p>
        </w:tc>
        <w:tc>
          <w:tcPr>
            <w:tcW w:w="3433" w:type="pct"/>
            <w:noWrap w:val="0"/>
            <w:vAlign w:val="top"/>
          </w:tcPr>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（一）培训对象：培训对象包括进出口银行的开发人员、系统运行维护管理人员，以及其他相关人员。</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（二）培训目标：通过培训，应使上述人员掌握系统提供的内容和功能，以及使用权限划分与操作方式。</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（三）培训内容：</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lang w:val="en-US"/>
              </w:rPr>
              <w:t>应具有知识和技术转移的意愿，并阐述详细的实际措施，以对项目实施阶段的参与者及项目最终的使用和运维团队进行全面、有效的知识转移。</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lang w:val="en-US"/>
              </w:rPr>
              <w:t>需向进出口银行提供系统在配置、开发、安装、使用、监控和维护等方面的培训。</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lang w:val="en-US"/>
              </w:rPr>
              <w:t>须详细列出各阶段培训的服务清单和培训费用，服务清单包括培训内容、授课方式、培训对象、时间计划安排和培训反馈处理等，对项目实施阶段的参与者及项目最终的使用和运维团队进行全面、有效的知识转移，确保进出口银行形成一支熟悉系统运用和维护的专家队伍。</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（四）培训材料：</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lang w:val="en-US"/>
              </w:rPr>
              <w:t>为所有被培训人员提供完备的文字资料（书面及电子版）和讲义（书面及电子版）等相关用品。</w:t>
            </w:r>
          </w:p>
        </w:tc>
      </w:tr>
    </w:tbl>
    <w:p>
      <w:pPr>
        <w:pageBreakBefore w:val="0"/>
        <w:numPr>
          <w:ilvl w:val="0"/>
          <w:numId w:val="0"/>
        </w:numPr>
        <w:kinsoku/>
        <w:overflowPunct/>
        <w:topLinePunct w:val="0"/>
        <w:autoSpaceDE/>
        <w:autoSpaceDN/>
        <w:bidi w:val="0"/>
        <w:snapToGrid/>
        <w:spacing w:beforeLines="0" w:afterLines="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（二）主要交付物</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在项目工作书中明确交付物类型、内容及交付形式，包含但不限于以下内容。</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21" w:type="pct"/>
            <w:shd w:val="clear" w:color="auto" w:fill="BEBEBE"/>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过程域</w:t>
            </w:r>
          </w:p>
        </w:tc>
        <w:tc>
          <w:tcPr>
            <w:tcW w:w="4178" w:type="pct"/>
            <w:shd w:val="clear" w:color="auto" w:fill="BEBEBE"/>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vMerge w:val="restart"/>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项目管理</w:t>
            </w:r>
          </w:p>
        </w:tc>
        <w:tc>
          <w:tcPr>
            <w:tcW w:w="4178" w:type="pct"/>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《项目详细实施计划》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vMerge w:val="continue"/>
            <w:noWrap w:val="0"/>
            <w:vAlign w:val="center"/>
          </w:tcPr>
          <w:p>
            <w:pPr>
              <w:spacing w:line="360" w:lineRule="auto"/>
              <w:rPr>
                <w:rFonts w:hint="eastAsia" w:ascii="宋体" w:hAnsi="宋体" w:eastAsia="宋体" w:cs="宋体"/>
                <w:sz w:val="24"/>
                <w:szCs w:val="24"/>
              </w:rPr>
            </w:pPr>
          </w:p>
        </w:tc>
        <w:tc>
          <w:tcPr>
            <w:tcW w:w="4178" w:type="pct"/>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《项目质量审计报告》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vMerge w:val="continue"/>
            <w:noWrap w:val="0"/>
            <w:vAlign w:val="center"/>
          </w:tcPr>
          <w:p>
            <w:pPr>
              <w:spacing w:line="360" w:lineRule="auto"/>
              <w:rPr>
                <w:rFonts w:hint="eastAsia" w:ascii="宋体" w:hAnsi="宋体" w:eastAsia="宋体" w:cs="宋体"/>
                <w:sz w:val="24"/>
                <w:szCs w:val="24"/>
              </w:rPr>
            </w:pPr>
          </w:p>
        </w:tc>
        <w:tc>
          <w:tcPr>
            <w:tcW w:w="4178" w:type="pct"/>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《关键人员简历》</w:t>
            </w:r>
            <w:r>
              <w:rPr>
                <w:rFonts w:hint="eastAsia" w:ascii="宋体" w:hAnsi="宋体" w:eastAsia="宋体"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vMerge w:val="continue"/>
            <w:noWrap w:val="0"/>
            <w:vAlign w:val="center"/>
          </w:tcPr>
          <w:p>
            <w:pPr>
              <w:spacing w:line="360" w:lineRule="auto"/>
              <w:rPr>
                <w:rFonts w:hint="eastAsia" w:ascii="宋体" w:hAnsi="宋体" w:eastAsia="宋体" w:cs="宋体"/>
                <w:sz w:val="24"/>
                <w:szCs w:val="24"/>
              </w:rPr>
            </w:pPr>
          </w:p>
        </w:tc>
        <w:tc>
          <w:tcPr>
            <w:tcW w:w="4178" w:type="pct"/>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《关键人员人力资源变动报告》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21" w:type="pct"/>
            <w:vMerge w:val="continue"/>
            <w:noWrap w:val="0"/>
            <w:vAlign w:val="center"/>
          </w:tcPr>
          <w:p>
            <w:pPr>
              <w:spacing w:line="360" w:lineRule="auto"/>
              <w:rPr>
                <w:rFonts w:hint="eastAsia" w:ascii="宋体" w:hAnsi="宋体" w:eastAsia="宋体" w:cs="宋体"/>
                <w:sz w:val="24"/>
                <w:szCs w:val="24"/>
              </w:rPr>
            </w:pPr>
          </w:p>
        </w:tc>
        <w:tc>
          <w:tcPr>
            <w:tcW w:w="4178" w:type="pct"/>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项目状态报告：日常管理采用周报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vMerge w:val="restart"/>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需求分析</w:t>
            </w: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《功能需求规格说明书》</w:t>
            </w:r>
            <w:r>
              <w:rPr>
                <w:rFonts w:hint="eastAsia" w:ascii="宋体" w:hAnsi="宋体" w:eastAsia="宋体"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vMerge w:val="continue"/>
            <w:noWrap w:val="0"/>
            <w:vAlign w:val="center"/>
          </w:tcPr>
          <w:p>
            <w:pPr>
              <w:spacing w:line="360" w:lineRule="auto"/>
              <w:rPr>
                <w:rFonts w:hint="eastAsia" w:ascii="宋体" w:hAnsi="宋体" w:eastAsia="宋体" w:cs="宋体"/>
                <w:sz w:val="24"/>
                <w:szCs w:val="24"/>
              </w:rPr>
            </w:pP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《非功能需求规格说明书》（如有）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21" w:type="pct"/>
            <w:vMerge w:val="restart"/>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设计</w:t>
            </w: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《概要设计说明书》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21" w:type="pct"/>
            <w:vMerge w:val="continue"/>
            <w:noWrap w:val="0"/>
            <w:vAlign w:val="center"/>
          </w:tcPr>
          <w:p>
            <w:pPr>
              <w:spacing w:line="360" w:lineRule="auto"/>
              <w:rPr>
                <w:rFonts w:hint="eastAsia" w:ascii="宋体" w:hAnsi="宋体" w:eastAsia="宋体" w:cs="宋体"/>
                <w:sz w:val="24"/>
                <w:szCs w:val="24"/>
              </w:rPr>
            </w:pP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《详细设计说明书》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21" w:type="pct"/>
            <w:vMerge w:val="continue"/>
            <w:noWrap w:val="0"/>
            <w:vAlign w:val="center"/>
          </w:tcPr>
          <w:p>
            <w:pPr>
              <w:spacing w:line="360" w:lineRule="auto"/>
              <w:rPr>
                <w:rFonts w:hint="eastAsia" w:ascii="宋体" w:hAnsi="宋体" w:eastAsia="宋体" w:cs="宋体"/>
                <w:sz w:val="24"/>
                <w:szCs w:val="24"/>
              </w:rPr>
            </w:pP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应用系统部署架构（如有）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21" w:type="pct"/>
            <w:vMerge w:val="continue"/>
            <w:noWrap w:val="0"/>
            <w:vAlign w:val="center"/>
          </w:tcPr>
          <w:p>
            <w:pPr>
              <w:spacing w:line="360" w:lineRule="auto"/>
              <w:rPr>
                <w:rFonts w:hint="eastAsia" w:ascii="宋体" w:hAnsi="宋体" w:eastAsia="宋体" w:cs="宋体"/>
                <w:sz w:val="24"/>
                <w:szCs w:val="24"/>
              </w:rPr>
            </w:pP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基础软硬件配置清单（如有）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vMerge w:val="restart"/>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开发</w:t>
            </w: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《单元测试案例》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vMerge w:val="continue"/>
            <w:noWrap w:val="0"/>
            <w:vAlign w:val="center"/>
          </w:tcPr>
          <w:p>
            <w:pPr>
              <w:spacing w:line="360" w:lineRule="auto"/>
              <w:rPr>
                <w:rFonts w:hint="eastAsia" w:ascii="宋体" w:hAnsi="宋体" w:eastAsia="宋体" w:cs="宋体"/>
                <w:sz w:val="24"/>
                <w:szCs w:val="24"/>
              </w:rPr>
            </w:pP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《系统内集成测试案例》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vMerge w:val="continue"/>
            <w:noWrap w:val="0"/>
            <w:vAlign w:val="center"/>
          </w:tcPr>
          <w:p>
            <w:pPr>
              <w:spacing w:line="360" w:lineRule="auto"/>
              <w:rPr>
                <w:rFonts w:hint="eastAsia" w:ascii="宋体" w:hAnsi="宋体" w:eastAsia="宋体" w:cs="宋体"/>
                <w:sz w:val="24"/>
                <w:szCs w:val="24"/>
              </w:rPr>
            </w:pP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《系统内集成测试报告》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vMerge w:val="restart"/>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测试</w:t>
            </w: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《应用组装测试案例》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vMerge w:val="continue"/>
            <w:noWrap w:val="0"/>
            <w:vAlign w:val="center"/>
          </w:tcPr>
          <w:p>
            <w:pPr>
              <w:spacing w:line="360" w:lineRule="auto"/>
              <w:rPr>
                <w:rFonts w:hint="eastAsia" w:ascii="宋体" w:hAnsi="宋体" w:eastAsia="宋体" w:cs="宋体"/>
                <w:sz w:val="24"/>
                <w:szCs w:val="24"/>
              </w:rPr>
            </w:pP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《应用组装测试报告》</w:t>
            </w:r>
            <w:r>
              <w:rPr>
                <w:rFonts w:hint="eastAsia" w:ascii="宋体" w:hAnsi="宋体" w:eastAsia="宋体"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vMerge w:val="continue"/>
            <w:noWrap w:val="0"/>
            <w:vAlign w:val="center"/>
          </w:tcPr>
          <w:p>
            <w:pPr>
              <w:spacing w:line="360" w:lineRule="auto"/>
              <w:rPr>
                <w:rFonts w:hint="eastAsia" w:ascii="宋体" w:hAnsi="宋体" w:eastAsia="宋体" w:cs="宋体"/>
                <w:sz w:val="24"/>
                <w:szCs w:val="24"/>
              </w:rPr>
            </w:pP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通过用户验收测试后的源代码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vMerge w:val="restart"/>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业务培训</w:t>
            </w: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《培训讲义》（如有）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vMerge w:val="continue"/>
            <w:noWrap w:val="0"/>
            <w:vAlign w:val="center"/>
          </w:tcPr>
          <w:p>
            <w:pPr>
              <w:spacing w:line="360" w:lineRule="auto"/>
              <w:rPr>
                <w:rFonts w:hint="eastAsia" w:ascii="宋体" w:hAnsi="宋体" w:eastAsia="宋体" w:cs="宋体"/>
                <w:sz w:val="24"/>
                <w:szCs w:val="24"/>
              </w:rPr>
            </w:pP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《用户操作手册》（如有）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技术培训</w:t>
            </w: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《培训讲义》（如有）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vMerge w:val="restart"/>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系统投产</w:t>
            </w: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《投产任务跟踪表》（按版本）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vMerge w:val="continue"/>
            <w:noWrap w:val="0"/>
            <w:vAlign w:val="center"/>
          </w:tcPr>
          <w:p>
            <w:pPr>
              <w:spacing w:line="360" w:lineRule="auto"/>
              <w:rPr>
                <w:rFonts w:hint="eastAsia" w:ascii="宋体" w:hAnsi="宋体" w:eastAsia="宋体" w:cs="宋体"/>
                <w:sz w:val="24"/>
                <w:szCs w:val="24"/>
              </w:rPr>
            </w:pP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《操作控制表》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vMerge w:val="continue"/>
            <w:noWrap w:val="0"/>
            <w:vAlign w:val="center"/>
          </w:tcPr>
          <w:p>
            <w:pPr>
              <w:spacing w:line="360" w:lineRule="auto"/>
              <w:rPr>
                <w:rFonts w:hint="eastAsia" w:ascii="宋体" w:hAnsi="宋体" w:eastAsia="宋体" w:cs="宋体"/>
                <w:sz w:val="24"/>
                <w:szCs w:val="24"/>
              </w:rPr>
            </w:pP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待投产的应用程序版本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vMerge w:val="continue"/>
            <w:noWrap w:val="0"/>
            <w:vAlign w:val="center"/>
          </w:tcPr>
          <w:p>
            <w:pPr>
              <w:spacing w:line="360" w:lineRule="auto"/>
              <w:rPr>
                <w:rFonts w:hint="eastAsia" w:ascii="宋体" w:hAnsi="宋体" w:eastAsia="宋体" w:cs="宋体"/>
                <w:sz w:val="24"/>
                <w:szCs w:val="24"/>
              </w:rPr>
            </w:pP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《应急预案》（如有）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vMerge w:val="continue"/>
            <w:noWrap w:val="0"/>
            <w:vAlign w:val="center"/>
          </w:tcPr>
          <w:p>
            <w:pPr>
              <w:spacing w:line="360" w:lineRule="auto"/>
              <w:rPr>
                <w:rFonts w:hint="eastAsia" w:ascii="宋体" w:hAnsi="宋体" w:eastAsia="宋体" w:cs="宋体"/>
                <w:sz w:val="24"/>
                <w:szCs w:val="24"/>
              </w:rPr>
            </w:pP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《投产报告》（按版本）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vMerge w:val="continue"/>
            <w:noWrap w:val="0"/>
            <w:vAlign w:val="center"/>
          </w:tcPr>
          <w:p>
            <w:pPr>
              <w:spacing w:line="360" w:lineRule="auto"/>
              <w:rPr>
                <w:rFonts w:hint="eastAsia" w:ascii="宋体" w:hAnsi="宋体" w:eastAsia="宋体" w:cs="宋体"/>
                <w:sz w:val="24"/>
                <w:szCs w:val="24"/>
              </w:rPr>
            </w:pP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《运维手册》、《日志报错代码表》、《批量手册》、《监控手册》、《知识库》（如有）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vMerge w:val="restart"/>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系统应用维护</w:t>
            </w: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知识转移文档：《运维手册》（含《日志存储备份清理方案》等日常运维的必要件）、《日志报错代码表》、《批量手册》、《监控手册》（如有）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vMerge w:val="continue"/>
            <w:noWrap w:val="0"/>
            <w:vAlign w:val="center"/>
          </w:tcPr>
          <w:p>
            <w:pPr>
              <w:spacing w:line="360" w:lineRule="auto"/>
              <w:rPr>
                <w:rFonts w:hint="eastAsia" w:ascii="宋体" w:hAnsi="宋体" w:eastAsia="宋体" w:cs="宋体"/>
                <w:sz w:val="24"/>
                <w:szCs w:val="24"/>
              </w:rPr>
            </w:pP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知识库（包含《上线运行问题报告和问题跟踪表》、《重大问题分析报告》（如有））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vMerge w:val="continue"/>
            <w:noWrap w:val="0"/>
            <w:vAlign w:val="center"/>
          </w:tcPr>
          <w:p>
            <w:pPr>
              <w:spacing w:line="360" w:lineRule="auto"/>
              <w:rPr>
                <w:rFonts w:hint="eastAsia" w:ascii="宋体" w:hAnsi="宋体" w:eastAsia="宋体" w:cs="宋体"/>
                <w:sz w:val="24"/>
                <w:szCs w:val="24"/>
              </w:rPr>
            </w:pP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《维护期总结报告》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1" w:type="pct"/>
            <w:vMerge w:val="continue"/>
            <w:noWrap w:val="0"/>
            <w:vAlign w:val="center"/>
          </w:tcPr>
          <w:p>
            <w:pPr>
              <w:spacing w:line="360" w:lineRule="auto"/>
              <w:rPr>
                <w:rFonts w:hint="eastAsia" w:ascii="宋体" w:hAnsi="宋体" w:eastAsia="宋体" w:cs="宋体"/>
                <w:sz w:val="24"/>
                <w:szCs w:val="24"/>
              </w:rPr>
            </w:pPr>
          </w:p>
        </w:tc>
        <w:tc>
          <w:tcPr>
            <w:tcW w:w="4178" w:type="pct"/>
            <w:noWrap w:val="0"/>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《月度运行维护报告》</w:t>
            </w:r>
          </w:p>
        </w:tc>
      </w:tr>
    </w:tbl>
    <w:p>
      <w:pPr>
        <w:pStyle w:val="10"/>
        <w:keepNext/>
        <w:keepLines/>
        <w:pageBreakBefore w:val="0"/>
        <w:widowControl w:val="0"/>
        <w:numPr>
          <w:ilvl w:val="1"/>
          <w:numId w:val="0"/>
        </w:numPr>
        <w:kinsoku/>
        <w:wordWrap/>
        <w:overflowPunct/>
        <w:topLinePunct w:val="0"/>
        <w:autoSpaceDE/>
        <w:autoSpaceDN/>
        <w:bidi w:val="0"/>
        <w:adjustRightInd w:val="0"/>
        <w:snapToGrid/>
        <w:spacing w:before="157" w:beforeLines="50" w:after="0" w:afterLines="0" w:line="360" w:lineRule="auto"/>
        <w:ind w:left="336" w:firstLine="482" w:firstLineChars="200"/>
        <w:jc w:val="left"/>
        <w:textAlignment w:val="baseline"/>
        <w:outlineLvl w:val="1"/>
        <w:rPr>
          <w:rFonts w:hint="eastAsia" w:ascii="宋体" w:hAnsi="宋体" w:eastAsia="宋体" w:cs="宋体"/>
          <w:b/>
          <w:bCs/>
          <w:color w:val="auto"/>
          <w:sz w:val="24"/>
          <w:szCs w:val="24"/>
          <w:highlight w:val="none"/>
          <w:lang w:val="en-US" w:eastAsia="zh-CN"/>
        </w:rPr>
      </w:pPr>
      <w:bookmarkStart w:id="14" w:name="_Toc18403"/>
      <w:r>
        <w:rPr>
          <w:rFonts w:hint="eastAsia" w:ascii="宋体" w:hAnsi="宋体" w:eastAsia="宋体" w:cs="宋体"/>
          <w:b/>
          <w:bCs/>
          <w:color w:val="auto"/>
          <w:sz w:val="24"/>
          <w:szCs w:val="24"/>
          <w:highlight w:val="none"/>
          <w:lang w:val="en-US" w:eastAsia="zh-CN"/>
        </w:rPr>
        <w:fldChar w:fldCharType="begin"/>
      </w:r>
      <w:r>
        <w:rPr>
          <w:rFonts w:hint="eastAsia" w:ascii="宋体" w:hAnsi="宋体" w:eastAsia="宋体" w:cs="宋体"/>
          <w:b/>
          <w:bCs/>
          <w:color w:val="auto"/>
          <w:sz w:val="24"/>
          <w:szCs w:val="24"/>
          <w:highlight w:val="none"/>
          <w:lang w:val="en-US" w:eastAsia="zh-CN"/>
        </w:rPr>
        <w:instrText xml:space="preserve"> HYPERLINK \l _Toc29694 </w:instrText>
      </w:r>
      <w:r>
        <w:rPr>
          <w:rFonts w:hint="eastAsia" w:ascii="宋体" w:hAnsi="宋体" w:eastAsia="宋体" w:cs="宋体"/>
          <w:b/>
          <w:bCs/>
          <w:color w:val="auto"/>
          <w:sz w:val="24"/>
          <w:szCs w:val="24"/>
          <w:highlight w:val="none"/>
          <w:lang w:val="en-US" w:eastAsia="zh-CN"/>
        </w:rPr>
        <w:fldChar w:fldCharType="separate"/>
      </w:r>
      <w:r>
        <w:rPr>
          <w:rFonts w:hint="eastAsia" w:ascii="宋体" w:hAnsi="宋体" w:eastAsia="宋体" w:cs="宋体"/>
          <w:b/>
          <w:bCs/>
          <w:color w:val="auto"/>
          <w:sz w:val="24"/>
          <w:szCs w:val="24"/>
          <w:highlight w:val="none"/>
          <w:lang w:val="en-US" w:eastAsia="zh-CN"/>
        </w:rPr>
        <w:t>六、项目团队要求</w:t>
      </w:r>
      <w:r>
        <w:rPr>
          <w:rFonts w:hint="eastAsia" w:ascii="宋体" w:hAnsi="宋体" w:eastAsia="宋体" w:cs="宋体"/>
          <w:b/>
          <w:bCs/>
          <w:color w:val="auto"/>
          <w:sz w:val="24"/>
          <w:szCs w:val="24"/>
          <w:highlight w:val="none"/>
          <w:lang w:val="en-US" w:eastAsia="zh-CN"/>
        </w:rPr>
        <w:fldChar w:fldCharType="end"/>
      </w:r>
      <w:bookmarkEnd w:id="14"/>
    </w:p>
    <w:p>
      <w:pPr>
        <w:keepLines w:val="0"/>
        <w:pageBreakBefore w:val="0"/>
        <w:widowControl w:val="0"/>
        <w:numPr>
          <w:ilvl w:val="0"/>
          <w:numId w:val="0"/>
        </w:numPr>
        <w:kinsoku/>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熟悉采购人联合开发系统现状，具有项目涉及系统相关实施经验；具备完成服务范围内各项工作的能力；团队中关键核心岗位人员，如项目经理、关键技术人员等不得外包。</w:t>
      </w:r>
    </w:p>
    <w:p>
      <w:pPr>
        <w:pageBreakBefore w:val="0"/>
        <w:kinsoku/>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承诺已进入项目组的</w:t>
      </w:r>
      <w:r>
        <w:rPr>
          <w:rFonts w:hint="eastAsia" w:ascii="宋体" w:hAnsi="宋体" w:eastAsia="宋体" w:cs="宋体"/>
          <w:sz w:val="24"/>
          <w:szCs w:val="24"/>
          <w:highlight w:val="none"/>
          <w:lang w:val="en-US" w:eastAsia="zh-CN"/>
        </w:rPr>
        <w:t>关键核心岗位</w:t>
      </w:r>
      <w:r>
        <w:rPr>
          <w:rFonts w:hint="eastAsia" w:ascii="宋体" w:hAnsi="宋体" w:eastAsia="宋体" w:cs="宋体"/>
          <w:sz w:val="24"/>
          <w:szCs w:val="24"/>
          <w:highlight w:val="none"/>
        </w:rPr>
        <w:t>人员不得随意更换。如确实需要更换人员须经过</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审核通过后方可换人。同时要求新换人员必须通过</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的审核，且由</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保证人员更换期间工作的连续性。</w:t>
      </w:r>
      <w:r>
        <w:rPr>
          <w:rFonts w:hint="eastAsia" w:ascii="宋体" w:hAnsi="宋体" w:eastAsia="宋体" w:cs="宋体"/>
          <w:sz w:val="24"/>
          <w:szCs w:val="24"/>
          <w:highlight w:val="none"/>
          <w:lang w:val="en-US" w:eastAsia="zh-CN"/>
        </w:rPr>
        <w:t>其他岗位人员如有更换需书面告知采购人，并承诺不因此降低服务质量。</w:t>
      </w:r>
    </w:p>
    <w:p>
      <w:pPr>
        <w:pageBreakBefore w:val="0"/>
        <w:kinsoku/>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承诺进入项目组的</w:t>
      </w:r>
      <w:r>
        <w:rPr>
          <w:rFonts w:hint="eastAsia" w:ascii="宋体" w:hAnsi="宋体" w:eastAsia="宋体" w:cs="宋体"/>
          <w:sz w:val="24"/>
          <w:szCs w:val="24"/>
          <w:highlight w:val="none"/>
          <w:lang w:val="en-US" w:eastAsia="zh-CN"/>
        </w:rPr>
        <w:t>驻场服务</w:t>
      </w:r>
      <w:r>
        <w:rPr>
          <w:rFonts w:hint="eastAsia" w:ascii="宋体" w:hAnsi="宋体" w:eastAsia="宋体" w:cs="宋体"/>
          <w:sz w:val="24"/>
          <w:szCs w:val="24"/>
          <w:highlight w:val="none"/>
        </w:rPr>
        <w:t>人员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要提供人员简历、学历证明复印件及人员相关认证资质复印件，</w:t>
      </w:r>
      <w:r>
        <w:rPr>
          <w:rFonts w:hint="eastAsia" w:ascii="宋体" w:hAnsi="宋体" w:eastAsia="宋体" w:cs="宋体"/>
          <w:sz w:val="24"/>
          <w:szCs w:val="24"/>
          <w:highlight w:val="none"/>
        </w:rPr>
        <w:t>签署安全保密承诺书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并满足采购人</w:t>
      </w:r>
      <w:r>
        <w:rPr>
          <w:rFonts w:hint="eastAsia" w:ascii="宋体" w:hAnsi="宋体" w:eastAsia="宋体" w:cs="宋体"/>
          <w:sz w:val="24"/>
          <w:szCs w:val="24"/>
          <w:highlight w:val="none"/>
        </w:rPr>
        <w:t>管理</w:t>
      </w:r>
      <w:r>
        <w:rPr>
          <w:rFonts w:hint="eastAsia" w:ascii="宋体" w:hAnsi="宋体" w:eastAsia="宋体" w:cs="宋体"/>
          <w:sz w:val="24"/>
          <w:szCs w:val="24"/>
          <w:highlight w:val="none"/>
          <w:lang w:val="en-US" w:eastAsia="zh-CN"/>
        </w:rPr>
        <w:t>要求：</w:t>
      </w:r>
    </w:p>
    <w:p>
      <w:pPr>
        <w:pageBreakBefore w:val="0"/>
        <w:kinsoku/>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（1）所有驻场服务人员必须遵守</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作息制度和相关工作制度规定，提供5*8小时驻场服务。</w:t>
      </w:r>
    </w:p>
    <w:p>
      <w:pPr>
        <w:pageBreakBefore w:val="0"/>
        <w:kinsoku/>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（2）驻场服务期间，所有驻场服务人员必须严格按照</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各项规章制度合规开展工作；驻场服务地点为</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指定地点。</w:t>
      </w:r>
    </w:p>
    <w:p>
      <w:pPr>
        <w:pageBreakBefore w:val="0"/>
        <w:kinsoku/>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（3）任何驻场</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人员不得随意更换。如果更换人员则</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应提前</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个月通知</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，并经过</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审核通过后方可换人。同时要求新换人员必须通过</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的审核，且由</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保证人员更换期间支持工作的连续性；</w:t>
      </w:r>
    </w:p>
    <w:p>
      <w:pPr>
        <w:pageBreakBefore w:val="0"/>
        <w:kinsoku/>
        <w:overflowPunct/>
        <w:topLinePunct w:val="0"/>
        <w:autoSpaceDE/>
        <w:autoSpaceDN/>
        <w:bidi w:val="0"/>
        <w:snapToGrid/>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（4）如果支持人员因违反</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工作纪律或相关运行制度，并给</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造成了损失，则</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有责任进行赔偿，具体赔偿标准见合同。</w:t>
      </w:r>
    </w:p>
    <w:p>
      <w:pPr>
        <w:pageBreakBefore w:val="0"/>
        <w:kinsoku/>
        <w:overflowPunct/>
        <w:topLinePunct w:val="0"/>
        <w:autoSpaceDE/>
        <w:autoSpaceDN/>
        <w:bidi w:val="0"/>
        <w:snapToGrid/>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rPr>
        <w:t>（5）根据支持效果，对于不能够胜任支持工作的人员，</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有权利要求</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重新进行调换。同时</w:t>
      </w:r>
      <w:r>
        <w:rPr>
          <w:rFonts w:hint="eastAsia" w:ascii="宋体" w:hAnsi="宋体" w:eastAsia="宋体" w:cs="宋体"/>
          <w:sz w:val="24"/>
          <w:szCs w:val="24"/>
          <w:highlight w:val="none"/>
          <w:lang w:val="en-US" w:eastAsia="zh-CN"/>
        </w:rPr>
        <w:t>由供应商</w:t>
      </w:r>
      <w:r>
        <w:rPr>
          <w:rFonts w:hint="eastAsia" w:ascii="宋体" w:hAnsi="宋体" w:eastAsia="宋体" w:cs="宋体"/>
          <w:sz w:val="24"/>
          <w:szCs w:val="24"/>
          <w:highlight w:val="none"/>
        </w:rPr>
        <w:t>保证人员更换期间支持工作的连续性。</w:t>
      </w:r>
    </w:p>
    <w:p>
      <w:pPr>
        <w:pStyle w:val="10"/>
        <w:keepNext/>
        <w:keepLines/>
        <w:pageBreakBefore w:val="0"/>
        <w:widowControl w:val="0"/>
        <w:numPr>
          <w:ilvl w:val="1"/>
          <w:numId w:val="0"/>
        </w:numPr>
        <w:kinsoku/>
        <w:wordWrap/>
        <w:overflowPunct/>
        <w:topLinePunct w:val="0"/>
        <w:autoSpaceDE/>
        <w:autoSpaceDN/>
        <w:bidi w:val="0"/>
        <w:adjustRightInd w:val="0"/>
        <w:snapToGrid/>
        <w:spacing w:before="0" w:beforeLines="0" w:after="0" w:afterLines="0" w:line="360" w:lineRule="auto"/>
        <w:ind w:left="336" w:firstLine="482" w:firstLineChars="200"/>
        <w:jc w:val="left"/>
        <w:textAlignment w:val="baseline"/>
        <w:outlineLvl w:val="1"/>
        <w:rPr>
          <w:rFonts w:hint="eastAsia" w:ascii="宋体" w:hAnsi="宋体" w:eastAsia="宋体" w:cs="宋体"/>
          <w:b/>
          <w:bCs/>
          <w:color w:val="auto"/>
          <w:sz w:val="24"/>
          <w:szCs w:val="24"/>
          <w:lang w:val="en-US" w:eastAsia="zh-CN"/>
        </w:rPr>
      </w:pPr>
      <w:bookmarkStart w:id="15" w:name="_Toc19430"/>
      <w:bookmarkStart w:id="16" w:name="_Toc1526"/>
      <w:r>
        <w:rPr>
          <w:rFonts w:hint="eastAsia" w:ascii="宋体" w:hAnsi="宋体" w:eastAsia="宋体" w:cs="宋体"/>
          <w:b/>
          <w:bCs/>
          <w:color w:val="auto"/>
          <w:sz w:val="24"/>
          <w:szCs w:val="24"/>
          <w:lang w:val="en-US" w:eastAsia="zh-CN"/>
        </w:rPr>
        <w:t>七、安全要求</w:t>
      </w:r>
      <w:bookmarkEnd w:id="15"/>
      <w:bookmarkEnd w:id="16"/>
    </w:p>
    <w:p>
      <w:pPr>
        <w:pageBreakBefore w:val="0"/>
        <w:kinsoku/>
        <w:overflowPunct/>
        <w:topLinePunct w:val="0"/>
        <w:autoSpaceDE/>
        <w:autoSpaceDN/>
        <w:bidi w:val="0"/>
        <w:adjustRightInd w:val="0"/>
        <w:snapToGrid/>
        <w:spacing w:beforeLines="0" w:afterLines="0"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在未征得</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同意的情况下，</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供应商必须保证所提供的人员能够严格遵守各项规章制度，主要包括但不限于以下内容：</w:t>
      </w:r>
    </w:p>
    <w:p>
      <w:pPr>
        <w:pageBreakBefore w:val="0"/>
        <w:kinsoku/>
        <w:overflowPunct/>
        <w:topLinePunct w:val="0"/>
        <w:autoSpaceDE/>
        <w:autoSpaceDN/>
        <w:bidi w:val="0"/>
        <w:adjustRightInd w:val="0"/>
        <w:snapToGrid/>
        <w:spacing w:beforeLines="0" w:afterLines="0"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法律合规方面，应有效规避实施过程中给</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带来的法律风险。</w:t>
      </w:r>
    </w:p>
    <w:p>
      <w:pPr>
        <w:pageBreakBefore w:val="0"/>
        <w:kinsoku/>
        <w:overflowPunct/>
        <w:topLinePunct w:val="0"/>
        <w:autoSpaceDE/>
        <w:autoSpaceDN/>
        <w:bidi w:val="0"/>
        <w:adjustRightInd w:val="0"/>
        <w:snapToGrid/>
        <w:spacing w:beforeLines="0" w:afterLines="0"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信息</w:t>
      </w:r>
      <w:r>
        <w:rPr>
          <w:rFonts w:hint="eastAsia" w:ascii="宋体" w:hAnsi="宋体" w:eastAsia="宋体" w:cs="宋体"/>
          <w:color w:val="auto"/>
          <w:sz w:val="24"/>
          <w:szCs w:val="24"/>
          <w:lang w:val="en-US" w:eastAsia="zh-CN"/>
        </w:rPr>
        <w:t>安全</w:t>
      </w:r>
      <w:r>
        <w:rPr>
          <w:rFonts w:hint="eastAsia" w:ascii="宋体" w:hAnsi="宋体" w:eastAsia="宋体" w:cs="宋体"/>
          <w:color w:val="auto"/>
          <w:sz w:val="24"/>
          <w:szCs w:val="24"/>
        </w:rPr>
        <w:t>方面，应有效规避因服务人员导致的银行信息（如业务数据和商务信息等）泄漏风险。</w:t>
      </w:r>
    </w:p>
    <w:p>
      <w:pPr>
        <w:pageBreakBefore w:val="0"/>
        <w:kinsoku/>
        <w:overflowPunct/>
        <w:topLinePunct w:val="0"/>
        <w:autoSpaceDE/>
        <w:autoSpaceDN/>
        <w:bidi w:val="0"/>
        <w:adjustRightInd w:val="0"/>
        <w:snapToGrid/>
        <w:spacing w:beforeLines="0" w:afterLines="0"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生产安全方面，应严格规避因人员操作不当，导致的银行系统出现安全性和稳定性风险事件。</w:t>
      </w:r>
    </w:p>
    <w:p>
      <w:pPr>
        <w:pageBreakBefore w:val="0"/>
        <w:kinsoku/>
        <w:overflowPunct/>
        <w:topLinePunct w:val="0"/>
        <w:autoSpaceDE/>
        <w:autoSpaceDN/>
        <w:bidi w:val="0"/>
        <w:adjustRightInd w:val="0"/>
        <w:snapToGrid/>
        <w:spacing w:beforeLines="0" w:afterLines="0"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安全审计方面，应确保针对银行设备的相关操作留有纸质或视频记录。</w:t>
      </w:r>
    </w:p>
    <w:p>
      <w:pPr>
        <w:pageBreakBefore w:val="0"/>
        <w:kinsoku/>
        <w:overflowPunct/>
        <w:topLinePunct w:val="0"/>
        <w:autoSpaceDE/>
        <w:autoSpaceDN/>
        <w:bidi w:val="0"/>
        <w:adjustRightInd w:val="0"/>
        <w:snapToGrid/>
        <w:spacing w:beforeLines="0" w:afterLines="0"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eastAsia="宋体" w:cs="宋体"/>
          <w:sz w:val="24"/>
          <w:szCs w:val="24"/>
        </w:rPr>
        <w:t>保密</w:t>
      </w:r>
      <w:r>
        <w:rPr>
          <w:rFonts w:hint="eastAsia" w:ascii="宋体" w:hAnsi="宋体" w:eastAsia="宋体" w:cs="宋体"/>
          <w:b w:val="0"/>
          <w:bCs w:val="0"/>
          <w:sz w:val="24"/>
          <w:szCs w:val="24"/>
          <w:lang w:val="en-US" w:eastAsia="zh-CN"/>
        </w:rPr>
        <w:t>要求方面，</w:t>
      </w:r>
      <w:r>
        <w:rPr>
          <w:rFonts w:hint="eastAsia" w:ascii="宋体" w:hAnsi="宋体" w:eastAsia="宋体" w:cs="宋体"/>
          <w:sz w:val="24"/>
          <w:szCs w:val="24"/>
        </w:rPr>
        <w:t>供应商对项目实施中涉及到的相关数据、资料、文档等具有保密的义务，并应按照相应保密规定执行。本项目所形成的数据成果归</w:t>
      </w:r>
      <w:r>
        <w:rPr>
          <w:rFonts w:hint="eastAsia" w:ascii="宋体" w:hAnsi="宋体" w:eastAsia="宋体" w:cs="宋体"/>
          <w:sz w:val="24"/>
          <w:szCs w:val="24"/>
          <w:lang w:val="en-US" w:eastAsia="zh-CN"/>
        </w:rPr>
        <w:t>采购人</w:t>
      </w:r>
      <w:r>
        <w:rPr>
          <w:rFonts w:hint="eastAsia" w:ascii="宋体" w:hAnsi="宋体" w:eastAsia="宋体" w:cs="宋体"/>
          <w:sz w:val="24"/>
          <w:szCs w:val="24"/>
        </w:rPr>
        <w:t>所有。未经</w:t>
      </w:r>
      <w:r>
        <w:rPr>
          <w:rFonts w:hint="eastAsia" w:ascii="宋体" w:hAnsi="宋体" w:eastAsia="宋体" w:cs="宋体"/>
          <w:sz w:val="24"/>
          <w:szCs w:val="24"/>
          <w:lang w:val="en-US" w:eastAsia="zh-CN"/>
        </w:rPr>
        <w:t>采购人</w:t>
      </w:r>
      <w:r>
        <w:rPr>
          <w:rFonts w:hint="eastAsia" w:ascii="宋体" w:hAnsi="宋体" w:eastAsia="宋体" w:cs="宋体"/>
          <w:sz w:val="24"/>
          <w:szCs w:val="24"/>
        </w:rPr>
        <w:t>同意，供应商</w:t>
      </w:r>
      <w:r>
        <w:rPr>
          <w:rFonts w:hint="eastAsia" w:ascii="宋体" w:hAnsi="宋体" w:eastAsia="宋体" w:cs="宋体"/>
          <w:color w:val="auto"/>
          <w:sz w:val="24"/>
          <w:szCs w:val="24"/>
        </w:rPr>
        <w:t>不得向第三方泄露、公开或用于提供法律服务之外的其他目的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对掌握的</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客户的资料，</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应采取措施与其他客户资料施行有效隔离。</w:t>
      </w:r>
    </w:p>
    <w:p>
      <w:pPr>
        <w:pStyle w:val="10"/>
        <w:keepNext/>
        <w:keepLines/>
        <w:pageBreakBefore w:val="0"/>
        <w:widowControl w:val="0"/>
        <w:numPr>
          <w:ilvl w:val="1"/>
          <w:numId w:val="0"/>
        </w:numPr>
        <w:kinsoku/>
        <w:wordWrap/>
        <w:overflowPunct/>
        <w:topLinePunct w:val="0"/>
        <w:autoSpaceDE/>
        <w:autoSpaceDN/>
        <w:bidi w:val="0"/>
        <w:adjustRightInd w:val="0"/>
        <w:snapToGrid/>
        <w:spacing w:before="157" w:beforeLines="50" w:after="0" w:afterLines="0" w:line="360" w:lineRule="auto"/>
        <w:ind w:left="336" w:firstLine="482" w:firstLineChars="200"/>
        <w:jc w:val="left"/>
        <w:textAlignment w:val="baseline"/>
        <w:outlineLvl w:val="1"/>
        <w:rPr>
          <w:rFonts w:hint="eastAsia" w:ascii="宋体" w:hAnsi="宋体" w:eastAsia="宋体" w:cs="宋体"/>
          <w:b/>
          <w:bCs/>
          <w:color w:val="auto"/>
          <w:sz w:val="24"/>
          <w:szCs w:val="24"/>
        </w:rPr>
      </w:pPr>
      <w:bookmarkStart w:id="17" w:name="_Toc7482"/>
      <w:bookmarkStart w:id="18" w:name="_Toc21831"/>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、交付或实施时间、地点</w:t>
      </w:r>
      <w:bookmarkEnd w:id="17"/>
      <w:bookmarkEnd w:id="18"/>
    </w:p>
    <w:p>
      <w:pPr>
        <w:pageBreakBefore w:val="0"/>
        <w:kinsoku/>
        <w:overflowPunct/>
        <w:topLinePunct w:val="0"/>
        <w:autoSpaceDE/>
        <w:autoSpaceDN/>
        <w:bidi w:val="0"/>
        <w:adjustRightInd w:val="0"/>
        <w:snapToGrid/>
        <w:spacing w:beforeLines="0" w:afterLines="0"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项目周期</w:t>
      </w:r>
    </w:p>
    <w:p>
      <w:pPr>
        <w:pageBreakBefore w:val="0"/>
        <w:kinsoku/>
        <w:overflowPunct/>
        <w:topLinePunct w:val="0"/>
        <w:autoSpaceDE/>
        <w:autoSpaceDN/>
        <w:bidi w:val="0"/>
        <w:adjustRightInd w:val="0"/>
        <w:snapToGrid/>
        <w:spacing w:beforeLines="0" w:afterLines="0"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合同签署至</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lang w:val="en-US" w:eastAsia="zh-CN"/>
        </w:rPr>
        <w:t>验收后12个月。</w:t>
      </w:r>
    </w:p>
    <w:p>
      <w:pPr>
        <w:pageBreakBefore w:val="0"/>
        <w:widowControl/>
        <w:kinsoku/>
        <w:overflowPunct/>
        <w:topLinePunct w:val="0"/>
        <w:autoSpaceDE/>
        <w:autoSpaceDN/>
        <w:bidi w:val="0"/>
        <w:adjustRightInd w:val="0"/>
        <w:snapToGrid/>
        <w:spacing w:beforeLines="0" w:afterLines="0"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服务地点</w:t>
      </w:r>
    </w:p>
    <w:p>
      <w:pPr>
        <w:pageBreakBefore w:val="0"/>
        <w:widowControl/>
        <w:kinsoku/>
        <w:overflowPunct/>
        <w:topLinePunct w:val="0"/>
        <w:autoSpaceDE/>
        <w:autoSpaceDN/>
        <w:bidi w:val="0"/>
        <w:adjustRightInd w:val="0"/>
        <w:snapToGrid/>
        <w:spacing w:beforeLines="0" w:afterLines="0"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中国进出口银行信息科技部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北京或其他指定地点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pPr>
        <w:pStyle w:val="10"/>
        <w:keepNext/>
        <w:keepLines/>
        <w:pageBreakBefore w:val="0"/>
        <w:widowControl w:val="0"/>
        <w:numPr>
          <w:ilvl w:val="0"/>
          <w:numId w:val="4"/>
        </w:numPr>
        <w:kinsoku/>
        <w:wordWrap/>
        <w:overflowPunct/>
        <w:topLinePunct w:val="0"/>
        <w:autoSpaceDE/>
        <w:autoSpaceDN/>
        <w:bidi w:val="0"/>
        <w:adjustRightInd w:val="0"/>
        <w:snapToGrid/>
        <w:spacing w:before="157" w:beforeLines="50" w:after="0" w:afterLines="0" w:line="360" w:lineRule="auto"/>
        <w:ind w:firstLine="482" w:firstLineChars="200"/>
        <w:jc w:val="left"/>
        <w:textAlignment w:val="baseline"/>
        <w:outlineLvl w:val="1"/>
        <w:rPr>
          <w:rFonts w:hint="eastAsia" w:ascii="宋体" w:hAnsi="宋体" w:eastAsia="宋体" w:cs="宋体"/>
          <w:b/>
          <w:bCs/>
          <w:color w:val="auto"/>
          <w:sz w:val="24"/>
          <w:szCs w:val="24"/>
        </w:rPr>
      </w:pPr>
      <w:bookmarkStart w:id="19" w:name="_Toc2325"/>
      <w:bookmarkStart w:id="20" w:name="_Toc27829"/>
      <w:r>
        <w:rPr>
          <w:rFonts w:hint="eastAsia" w:ascii="宋体" w:hAnsi="宋体" w:eastAsia="宋体" w:cs="宋体"/>
          <w:b/>
          <w:bCs/>
          <w:color w:val="auto"/>
          <w:sz w:val="24"/>
          <w:szCs w:val="24"/>
        </w:rPr>
        <w:t>财务支付要求</w:t>
      </w:r>
      <w:bookmarkEnd w:id="19"/>
    </w:p>
    <w:p>
      <w:pPr>
        <w:numPr>
          <w:ilvl w:val="0"/>
          <w:numId w:val="0"/>
        </w:numPr>
        <w:spacing w:line="360" w:lineRule="auto"/>
        <w:rPr>
          <w:rFonts w:hint="eastAsia" w:ascii="宋体" w:hAnsi="宋体" w:eastAsia="宋体" w:cs="宋体"/>
          <w:sz w:val="24"/>
          <w:szCs w:val="24"/>
        </w:rPr>
      </w:pPr>
    </w:p>
    <w:bookmarkEnd w:id="20"/>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1323"/>
        <w:gridCol w:w="443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93" w:type="pct"/>
            <w:noWrap w:val="0"/>
            <w:vAlign w:val="center"/>
          </w:tcPr>
          <w:p>
            <w:pPr>
              <w:pageBreakBefore w:val="0"/>
              <w:widowControl/>
              <w:kinsoku/>
              <w:overflowPunct/>
              <w:topLinePunct w:val="0"/>
              <w:autoSpaceDE/>
              <w:autoSpaceDN/>
              <w:bidi w:val="0"/>
              <w:adjustRightInd w:val="0"/>
              <w:snapToGrid/>
              <w:spacing w:beforeLines="0" w:afterLines="0" w:line="360" w:lineRule="auto"/>
              <w:ind w:firstLine="0" w:firstLineChars="0"/>
              <w:jc w:val="center"/>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776" w:type="pct"/>
            <w:noWrap w:val="0"/>
            <w:vAlign w:val="center"/>
          </w:tcPr>
          <w:p>
            <w:pPr>
              <w:pageBreakBefore w:val="0"/>
              <w:widowControl/>
              <w:kinsoku/>
              <w:overflowPunct/>
              <w:topLinePunct w:val="0"/>
              <w:autoSpaceDE/>
              <w:autoSpaceDN/>
              <w:bidi w:val="0"/>
              <w:adjustRightInd w:val="0"/>
              <w:snapToGrid/>
              <w:spacing w:beforeLines="0" w:afterLines="0" w:line="360" w:lineRule="auto"/>
              <w:ind w:firstLine="0" w:firstLineChars="0"/>
              <w:jc w:val="center"/>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付款节点</w:t>
            </w:r>
          </w:p>
        </w:tc>
        <w:tc>
          <w:tcPr>
            <w:tcW w:w="2604" w:type="pct"/>
            <w:noWrap w:val="0"/>
            <w:vAlign w:val="center"/>
          </w:tcPr>
          <w:p>
            <w:pPr>
              <w:pageBreakBefore w:val="0"/>
              <w:widowControl/>
              <w:kinsoku/>
              <w:overflowPunct/>
              <w:topLinePunct w:val="0"/>
              <w:autoSpaceDE/>
              <w:autoSpaceDN/>
              <w:bidi w:val="0"/>
              <w:adjustRightInd w:val="0"/>
              <w:snapToGrid/>
              <w:spacing w:beforeLines="0" w:afterLines="0" w:line="360" w:lineRule="auto"/>
              <w:ind w:firstLine="0" w:firstLineChars="0"/>
              <w:jc w:val="center"/>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付款条件</w:t>
            </w:r>
          </w:p>
        </w:tc>
        <w:tc>
          <w:tcPr>
            <w:tcW w:w="1325" w:type="pct"/>
            <w:noWrap w:val="0"/>
            <w:vAlign w:val="center"/>
          </w:tcPr>
          <w:p>
            <w:pPr>
              <w:pageBreakBefore w:val="0"/>
              <w:widowControl/>
              <w:kinsoku/>
              <w:overflowPunct/>
              <w:topLinePunct w:val="0"/>
              <w:autoSpaceDE/>
              <w:autoSpaceDN/>
              <w:bidi w:val="0"/>
              <w:adjustRightInd w:val="0"/>
              <w:snapToGrid/>
              <w:spacing w:beforeLines="0" w:afterLines="0" w:line="360" w:lineRule="auto"/>
              <w:ind w:firstLine="0" w:firstLineChars="0"/>
              <w:jc w:val="center"/>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付款比例(或金额)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93" w:type="pct"/>
            <w:noWrap w:val="0"/>
            <w:vAlign w:val="center"/>
          </w:tcPr>
          <w:p>
            <w:pPr>
              <w:pageBreakBefore w:val="0"/>
              <w:kinsoku/>
              <w:overflowPunct/>
              <w:topLinePunct w:val="0"/>
              <w:autoSpaceDE/>
              <w:autoSpaceDN/>
              <w:bidi w:val="0"/>
              <w:snapToGrid/>
              <w:spacing w:beforeLines="0" w:afterLines="0"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１</w:t>
            </w:r>
          </w:p>
        </w:tc>
        <w:tc>
          <w:tcPr>
            <w:tcW w:w="776" w:type="pct"/>
            <w:noWrap w:val="0"/>
            <w:vAlign w:val="center"/>
          </w:tcPr>
          <w:p>
            <w:pPr>
              <w:pageBreakBefore w:val="0"/>
              <w:kinsoku/>
              <w:overflowPunct/>
              <w:topLinePunct w:val="0"/>
              <w:autoSpaceDE/>
              <w:autoSpaceDN/>
              <w:bidi w:val="0"/>
              <w:snapToGrid/>
              <w:spacing w:beforeLines="0" w:afterLines="0"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首付款</w:t>
            </w:r>
          </w:p>
        </w:tc>
        <w:tc>
          <w:tcPr>
            <w:tcW w:w="2604"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rPr>
              <w:t>合同签署</w:t>
            </w:r>
            <w:r>
              <w:rPr>
                <w:rFonts w:hint="eastAsia" w:ascii="宋体" w:hAnsi="宋体" w:eastAsia="宋体" w:cs="宋体"/>
                <w:color w:val="auto"/>
                <w:kern w:val="2"/>
                <w:sz w:val="24"/>
                <w:szCs w:val="24"/>
              </w:rPr>
              <w:t>后，</w:t>
            </w:r>
            <w:r>
              <w:rPr>
                <w:rFonts w:hint="eastAsia" w:ascii="宋体" w:hAnsi="宋体" w:eastAsia="宋体" w:cs="宋体"/>
                <w:color w:val="auto"/>
                <w:kern w:val="2"/>
                <w:sz w:val="24"/>
                <w:szCs w:val="24"/>
                <w:lang w:eastAsia="zh-CN"/>
              </w:rPr>
              <w:t>采购人</w:t>
            </w:r>
            <w:r>
              <w:rPr>
                <w:rFonts w:hint="eastAsia" w:ascii="宋体" w:hAnsi="宋体" w:eastAsia="宋体" w:cs="宋体"/>
                <w:color w:val="auto"/>
                <w:kern w:val="2"/>
                <w:sz w:val="24"/>
                <w:szCs w:val="24"/>
              </w:rPr>
              <w:t>在收到乙方出具的付款申请及相应金额经</w:t>
            </w:r>
            <w:r>
              <w:rPr>
                <w:rFonts w:hint="eastAsia" w:ascii="宋体" w:hAnsi="宋体" w:eastAsia="宋体" w:cs="宋体"/>
                <w:color w:val="auto"/>
                <w:kern w:val="2"/>
                <w:sz w:val="24"/>
                <w:szCs w:val="24"/>
                <w:lang w:eastAsia="zh-CN"/>
              </w:rPr>
              <w:t>采购人</w:t>
            </w:r>
            <w:r>
              <w:rPr>
                <w:rFonts w:hint="eastAsia" w:ascii="宋体" w:hAnsi="宋体" w:eastAsia="宋体" w:cs="宋体"/>
                <w:color w:val="auto"/>
                <w:kern w:val="2"/>
                <w:sz w:val="24"/>
                <w:szCs w:val="24"/>
              </w:rPr>
              <w:t>认可的合法有效发票之日起</w:t>
            </w:r>
            <w:r>
              <w:rPr>
                <w:rFonts w:hint="eastAsia" w:ascii="宋体" w:hAnsi="宋体" w:eastAsia="宋体" w:cs="宋体"/>
                <w:color w:val="auto"/>
                <w:kern w:val="2"/>
                <w:sz w:val="24"/>
                <w:szCs w:val="24"/>
                <w:lang w:val="en-US" w:eastAsia="zh-CN"/>
              </w:rPr>
              <w:t>20个工作</w:t>
            </w:r>
            <w:r>
              <w:rPr>
                <w:rFonts w:hint="eastAsia" w:ascii="宋体" w:hAnsi="宋体" w:eastAsia="宋体" w:cs="宋体"/>
                <w:color w:val="auto"/>
                <w:kern w:val="2"/>
                <w:sz w:val="24"/>
                <w:szCs w:val="24"/>
              </w:rPr>
              <w:t>日内</w:t>
            </w:r>
          </w:p>
        </w:tc>
        <w:tc>
          <w:tcPr>
            <w:tcW w:w="1325"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付款至合同金额的50%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293" w:type="pct"/>
            <w:noWrap w:val="0"/>
            <w:vAlign w:val="center"/>
          </w:tcPr>
          <w:p>
            <w:pPr>
              <w:pageBreakBefore w:val="0"/>
              <w:kinsoku/>
              <w:overflowPunct/>
              <w:topLinePunct w:val="0"/>
              <w:autoSpaceDE/>
              <w:autoSpaceDN/>
              <w:bidi w:val="0"/>
              <w:snapToGrid/>
              <w:spacing w:beforeLines="0" w:afterLines="0"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776" w:type="pct"/>
            <w:noWrap w:val="0"/>
            <w:vAlign w:val="center"/>
          </w:tcPr>
          <w:p>
            <w:pPr>
              <w:pageBreakBefore w:val="0"/>
              <w:kinsoku/>
              <w:overflowPunct/>
              <w:topLinePunct w:val="0"/>
              <w:autoSpaceDE/>
              <w:autoSpaceDN/>
              <w:bidi w:val="0"/>
              <w:snapToGrid/>
              <w:spacing w:beforeLines="0" w:afterLines="0" w:line="36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验收款</w:t>
            </w:r>
          </w:p>
        </w:tc>
        <w:tc>
          <w:tcPr>
            <w:tcW w:w="2604"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left"/>
              <w:textAlignment w:val="auto"/>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全部需求通过验收后，采购人自收到乙方出具的付款申请及相应金额经采购人认可的合法有效发票之日起20个工作</w:t>
            </w:r>
            <w:r>
              <w:rPr>
                <w:rFonts w:hint="eastAsia" w:ascii="宋体" w:hAnsi="宋体" w:eastAsia="宋体" w:cs="宋体"/>
                <w:color w:val="auto"/>
                <w:kern w:val="2"/>
                <w:sz w:val="24"/>
                <w:szCs w:val="24"/>
              </w:rPr>
              <w:t>日内</w:t>
            </w:r>
          </w:p>
        </w:tc>
        <w:tc>
          <w:tcPr>
            <w:tcW w:w="1325"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付款至合同金额的70%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293" w:type="pct"/>
            <w:noWrap w:val="0"/>
            <w:vAlign w:val="center"/>
          </w:tcPr>
          <w:p>
            <w:pPr>
              <w:pageBreakBefore w:val="0"/>
              <w:kinsoku/>
              <w:overflowPunct/>
              <w:topLinePunct w:val="0"/>
              <w:autoSpaceDE/>
              <w:autoSpaceDN/>
              <w:bidi w:val="0"/>
              <w:snapToGrid/>
              <w:spacing w:beforeLines="0" w:afterLines="0"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776" w:type="pct"/>
            <w:noWrap w:val="0"/>
            <w:vAlign w:val="center"/>
          </w:tcPr>
          <w:p>
            <w:pPr>
              <w:pageBreakBefore w:val="0"/>
              <w:kinsoku/>
              <w:overflowPunct/>
              <w:topLinePunct w:val="0"/>
              <w:autoSpaceDE/>
              <w:autoSpaceDN/>
              <w:bidi w:val="0"/>
              <w:snapToGrid/>
              <w:spacing w:beforeLines="0" w:afterLines="0" w:line="36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尾  款</w:t>
            </w:r>
          </w:p>
        </w:tc>
        <w:tc>
          <w:tcPr>
            <w:tcW w:w="2604"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维护期结束，乙方提交维护期总结报告并得到采购人书面确认后，采购人收到乙方出具的付款申请及相应金额经采购人认可的合法有效发票之日起20</w:t>
            </w:r>
            <w:r>
              <w:rPr>
                <w:rFonts w:hint="eastAsia" w:ascii="宋体" w:hAnsi="宋体" w:eastAsia="宋体" w:cs="宋体"/>
                <w:color w:val="auto"/>
                <w:sz w:val="24"/>
                <w:szCs w:val="24"/>
                <w:lang w:eastAsia="zh-CN"/>
              </w:rPr>
              <w:t>个工作日内</w:t>
            </w:r>
          </w:p>
        </w:tc>
        <w:tc>
          <w:tcPr>
            <w:tcW w:w="1325" w:type="pc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付款至合同金额的100%</w:t>
            </w:r>
          </w:p>
        </w:tc>
      </w:tr>
    </w:tbl>
    <w:p>
      <w:pPr>
        <w:pStyle w:val="10"/>
        <w:keepNext/>
        <w:keepLines/>
        <w:pageBreakBefore w:val="0"/>
        <w:widowControl w:val="0"/>
        <w:numPr>
          <w:ilvl w:val="1"/>
          <w:numId w:val="0"/>
        </w:numPr>
        <w:kinsoku/>
        <w:wordWrap/>
        <w:overflowPunct/>
        <w:topLinePunct w:val="0"/>
        <w:autoSpaceDE/>
        <w:autoSpaceDN/>
        <w:bidi w:val="0"/>
        <w:adjustRightInd w:val="0"/>
        <w:snapToGrid/>
        <w:spacing w:before="157" w:beforeLines="50" w:after="0" w:afterLines="0" w:line="360" w:lineRule="auto"/>
        <w:ind w:left="336" w:firstLine="482" w:firstLineChars="200"/>
        <w:jc w:val="left"/>
        <w:textAlignment w:val="baseline"/>
        <w:outlineLvl w:val="1"/>
        <w:rPr>
          <w:rFonts w:hint="eastAsia" w:ascii="宋体" w:hAnsi="宋体" w:eastAsia="宋体" w:cs="宋体"/>
          <w:b/>
          <w:bCs/>
          <w:color w:val="auto"/>
          <w:sz w:val="24"/>
          <w:szCs w:val="24"/>
          <w:highlight w:val="none"/>
        </w:rPr>
      </w:pPr>
      <w:bookmarkStart w:id="21" w:name="_Toc32301"/>
      <w:bookmarkStart w:id="22" w:name="_Toc29815"/>
      <w:bookmarkStart w:id="23" w:name="_Toc8242"/>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、履约验收方案</w:t>
      </w:r>
      <w:bookmarkEnd w:id="21"/>
      <w:bookmarkEnd w:id="22"/>
      <w:bookmarkEnd w:id="23"/>
    </w:p>
    <w:p>
      <w:pPr>
        <w:pageBreakBefore w:val="0"/>
        <w:kinsoku/>
        <w:overflowPunct/>
        <w:topLinePunct w:val="0"/>
        <w:autoSpaceDE/>
        <w:autoSpaceDN/>
        <w:bidi w:val="0"/>
        <w:adjustRightInd w:val="0"/>
        <w:snapToGrid/>
        <w:spacing w:beforeLines="0" w:afterLines="0"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rPr>
        <w:t>履约验收的主体、时间、程序</w:t>
      </w:r>
    </w:p>
    <w:p>
      <w:pPr>
        <w:keepNext w:val="0"/>
        <w:keepLines w:val="0"/>
        <w:pageBreakBefore w:val="0"/>
        <w:widowControl/>
        <w:numPr>
          <w:ilvl w:val="0"/>
          <w:numId w:val="0"/>
        </w:numPr>
        <w:kinsoku/>
        <w:wordWrap/>
        <w:overflowPunct/>
        <w:topLinePunct w:val="0"/>
        <w:autoSpaceDE/>
        <w:autoSpaceDN/>
        <w:bidi w:val="0"/>
        <w:adjustRightInd w:val="0"/>
        <w:snapToGrid/>
        <w:spacing w:beforeLines="0" w:afterLines="0" w:line="360" w:lineRule="auto"/>
        <w:ind w:left="0" w:leftChars="0"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验收</w:t>
      </w:r>
      <w:r>
        <w:rPr>
          <w:rFonts w:hint="eastAsia" w:ascii="宋体" w:hAnsi="宋体" w:eastAsia="宋体" w:cs="宋体"/>
          <w:color w:val="auto"/>
          <w:sz w:val="24"/>
          <w:szCs w:val="24"/>
          <w:lang w:val="en-US" w:eastAsia="zh-CN"/>
        </w:rPr>
        <w:t>主体</w:t>
      </w:r>
    </w:p>
    <w:p>
      <w:pPr>
        <w:keepNext w:val="0"/>
        <w:keepLines w:val="0"/>
        <w:pageBreakBefore w:val="0"/>
        <w:widowControl/>
        <w:numPr>
          <w:ilvl w:val="0"/>
          <w:numId w:val="0"/>
        </w:numPr>
        <w:kinsoku/>
        <w:wordWrap/>
        <w:overflowPunct/>
        <w:topLinePunct w:val="0"/>
        <w:autoSpaceDE/>
        <w:autoSpaceDN/>
        <w:bidi w:val="0"/>
        <w:adjustRightInd w:val="0"/>
        <w:snapToGrid/>
        <w:spacing w:beforeLines="0" w:afterLines="0" w:line="360" w:lineRule="auto"/>
        <w:ind w:left="0" w:leftChars="0"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组织验收。</w:t>
      </w:r>
    </w:p>
    <w:p>
      <w:pPr>
        <w:keepNext w:val="0"/>
        <w:keepLines w:val="0"/>
        <w:pageBreakBefore w:val="0"/>
        <w:widowControl/>
        <w:numPr>
          <w:ilvl w:val="0"/>
          <w:numId w:val="0"/>
        </w:numPr>
        <w:kinsoku/>
        <w:wordWrap/>
        <w:overflowPunct/>
        <w:topLinePunct w:val="0"/>
        <w:autoSpaceDE/>
        <w:autoSpaceDN/>
        <w:bidi w:val="0"/>
        <w:adjustRightInd w:val="0"/>
        <w:snapToGrid/>
        <w:spacing w:beforeLines="0" w:afterLines="0" w:line="360" w:lineRule="auto"/>
        <w:ind w:left="0" w:leftChars="0"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2.验收时间及程序</w:t>
      </w:r>
    </w:p>
    <w:p>
      <w:pPr>
        <w:keepNext w:val="0"/>
        <w:keepLines w:val="0"/>
        <w:pageBreakBefore w:val="0"/>
        <w:widowControl/>
        <w:numPr>
          <w:ilvl w:val="0"/>
          <w:numId w:val="0"/>
        </w:numPr>
        <w:kinsoku/>
        <w:wordWrap/>
        <w:overflowPunct/>
        <w:topLinePunct w:val="0"/>
        <w:autoSpaceDE/>
        <w:autoSpaceDN/>
        <w:bidi w:val="0"/>
        <w:adjustRightInd w:val="0"/>
        <w:snapToGrid/>
        <w:spacing w:beforeLines="0" w:afterLines="0" w:line="360" w:lineRule="auto"/>
        <w:ind w:left="0" w:leftChars="0" w:firstLine="480" w:firstLineChars="200"/>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项目涉及系统投产上线完成并稳定运行满3个月，各项功能满足验收标准，进出口银行组织验收。</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kern w:val="2"/>
          <w:sz w:val="24"/>
          <w:szCs w:val="24"/>
          <w:lang w:val="en-US" w:eastAsia="zh-CN" w:bidi="ar-SA"/>
        </w:rPr>
        <w:t>具备验收条件后，由供应商向采购人提出验收申请，采购人收到申请后，自行或授权第三方监理依照合同及本工作说明书对其工作进行验收评估，如验收评估中发现其工作存在瑕疵、问题或遗漏，供应商须按照采购人要求限时解决，解决后采购人再次进行验收。验收通过后，采购人出具验收报告。</w:t>
      </w:r>
    </w:p>
    <w:p>
      <w:pPr>
        <w:pageBreakBefore w:val="0"/>
        <w:numPr>
          <w:ilvl w:val="0"/>
          <w:numId w:val="5"/>
        </w:numPr>
        <w:kinsoku/>
        <w:overflowPunct/>
        <w:topLinePunct w:val="0"/>
        <w:autoSpaceDE/>
        <w:autoSpaceDN/>
        <w:bidi w:val="0"/>
        <w:adjustRightInd w:val="0"/>
        <w:snapToGrid/>
        <w:spacing w:beforeLines="0" w:afterLines="0"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履约验收内容和标准</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本项目应于2025年11月前完成功能改造，2026年1月1日完成上线，乙方应严格按实施计划完成设计、开发、测试、投产等各阶段内容，并确保项目总体目标。</w:t>
      </w:r>
    </w:p>
    <w:p>
      <w:pPr>
        <w:keepLines w:val="0"/>
        <w:pageBreakBefore w:val="0"/>
        <w:numPr>
          <w:ilvl w:val="0"/>
          <w:numId w:val="0"/>
        </w:numPr>
        <w:kinsoku/>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auto"/>
          <w:sz w:val="24"/>
          <w:szCs w:val="24"/>
          <w:lang w:val="en-US" w:eastAsia="zh-CN"/>
        </w:rPr>
      </w:pPr>
      <w:bookmarkStart w:id="24" w:name="_Toc6272"/>
      <w:bookmarkStart w:id="25" w:name="_Toc20402"/>
      <w:r>
        <w:rPr>
          <w:rFonts w:hint="eastAsia" w:ascii="宋体" w:hAnsi="宋体" w:eastAsia="宋体" w:cs="宋体"/>
          <w:color w:val="auto"/>
          <w:sz w:val="24"/>
          <w:szCs w:val="24"/>
          <w:lang w:val="en-US" w:eastAsia="zh-CN"/>
        </w:rPr>
        <w:t>1.验收内容</w:t>
      </w:r>
    </w:p>
    <w:p>
      <w:pPr>
        <w:keepLines w:val="0"/>
        <w:pageBreakBefore w:val="0"/>
        <w:numPr>
          <w:ilvl w:val="0"/>
          <w:numId w:val="0"/>
        </w:numPr>
        <w:kinsoku/>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（1）交付件，包括文档资料、源代码等</w:t>
      </w:r>
    </w:p>
    <w:p>
      <w:pPr>
        <w:keepLines w:val="0"/>
        <w:pageBreakBefore w:val="0"/>
        <w:numPr>
          <w:ilvl w:val="0"/>
          <w:numId w:val="0"/>
        </w:numPr>
        <w:kinsoku/>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（2）适配改造的物理子系统应用软件</w:t>
      </w:r>
    </w:p>
    <w:p>
      <w:pPr>
        <w:keepLines w:val="0"/>
        <w:pageBreakBefore w:val="0"/>
        <w:numPr>
          <w:ilvl w:val="0"/>
          <w:numId w:val="0"/>
        </w:numPr>
        <w:kinsoku/>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（3）以量化的SLA考核指标为依据，对供应商服务及项目完成情况进行量化评价</w:t>
      </w:r>
    </w:p>
    <w:p>
      <w:pPr>
        <w:keepLines w:val="0"/>
        <w:pageBreakBefore w:val="0"/>
        <w:numPr>
          <w:ilvl w:val="0"/>
          <w:numId w:val="0"/>
        </w:numPr>
        <w:kinsoku/>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2.验收标准</w:t>
      </w:r>
    </w:p>
    <w:p>
      <w:pPr>
        <w:keepLines w:val="0"/>
        <w:pageBreakBefore w:val="0"/>
        <w:numPr>
          <w:ilvl w:val="0"/>
          <w:numId w:val="0"/>
        </w:numPr>
        <w:kinsoku/>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（1）文档验收标准</w:t>
      </w:r>
    </w:p>
    <w:p>
      <w:pPr>
        <w:keepLines w:val="0"/>
        <w:pageBreakBefore w:val="0"/>
        <w:numPr>
          <w:ilvl w:val="0"/>
          <w:numId w:val="6"/>
        </w:numPr>
        <w:kinsoku/>
        <w:overflowPunct/>
        <w:topLinePunct w:val="0"/>
        <w:autoSpaceDE/>
        <w:autoSpaceDN/>
        <w:bidi w:val="0"/>
        <w:adjustRightInd/>
        <w:snapToGrid/>
        <w:spacing w:line="360" w:lineRule="auto"/>
        <w:ind w:left="1050" w:leftChars="0" w:hanging="42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文档内容应包含对应工作阶段的所有工作任务的最终成果</w:t>
      </w:r>
    </w:p>
    <w:p>
      <w:pPr>
        <w:keepLines w:val="0"/>
        <w:pageBreakBefore w:val="0"/>
        <w:numPr>
          <w:ilvl w:val="0"/>
          <w:numId w:val="6"/>
        </w:numPr>
        <w:kinsoku/>
        <w:overflowPunct/>
        <w:topLinePunct w:val="0"/>
        <w:autoSpaceDE/>
        <w:autoSpaceDN/>
        <w:bidi w:val="0"/>
        <w:adjustRightInd/>
        <w:snapToGrid/>
        <w:spacing w:line="360" w:lineRule="auto"/>
        <w:ind w:left="1050" w:leftChars="0" w:hanging="42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文档内容无重大分歧，进出口银行能够接受文档中的主要观点、认可文档中所体现的工作成果</w:t>
      </w:r>
    </w:p>
    <w:p>
      <w:pPr>
        <w:keepLines w:val="0"/>
        <w:pageBreakBefore w:val="0"/>
        <w:numPr>
          <w:ilvl w:val="0"/>
          <w:numId w:val="6"/>
        </w:numPr>
        <w:kinsoku/>
        <w:overflowPunct/>
        <w:topLinePunct w:val="0"/>
        <w:autoSpaceDE/>
        <w:autoSpaceDN/>
        <w:bidi w:val="0"/>
        <w:adjustRightInd/>
        <w:snapToGrid/>
        <w:spacing w:line="360" w:lineRule="auto"/>
        <w:ind w:left="1050" w:leftChars="0" w:hanging="42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所有正式交付件表达清晰、内容完整，符合采购人要求。交付文档的描述不存在实质性的错误（包括不真实、遗漏、误差、以及对使用者可能产生误导的信息）；文字无重大或误导性错误</w:t>
      </w:r>
    </w:p>
    <w:p>
      <w:pPr>
        <w:keepLines w:val="0"/>
        <w:pageBreakBefore w:val="0"/>
        <w:numPr>
          <w:ilvl w:val="0"/>
          <w:numId w:val="6"/>
        </w:numPr>
        <w:kinsoku/>
        <w:overflowPunct/>
        <w:topLinePunct w:val="0"/>
        <w:autoSpaceDE/>
        <w:autoSpaceDN/>
        <w:bidi w:val="0"/>
        <w:adjustRightInd/>
        <w:snapToGrid/>
        <w:spacing w:line="360" w:lineRule="auto"/>
        <w:ind w:left="1050" w:leftChars="0" w:hanging="42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文档交付齐备</w:t>
      </w:r>
    </w:p>
    <w:p>
      <w:pPr>
        <w:keepLines w:val="0"/>
        <w:pageBreakBefore w:val="0"/>
        <w:numPr>
          <w:ilvl w:val="0"/>
          <w:numId w:val="6"/>
        </w:numPr>
        <w:kinsoku/>
        <w:overflowPunct/>
        <w:topLinePunct w:val="0"/>
        <w:autoSpaceDE/>
        <w:autoSpaceDN/>
        <w:bidi w:val="0"/>
        <w:adjustRightInd/>
        <w:snapToGrid/>
        <w:spacing w:line="360" w:lineRule="auto"/>
        <w:ind w:left="1050" w:leftChars="0" w:hanging="42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除特别指明的并经采购人同意的英文提交文档之外，要求提供中文文档</w:t>
      </w:r>
    </w:p>
    <w:p>
      <w:pPr>
        <w:keepLines w:val="0"/>
        <w:pageBreakBefore w:val="0"/>
        <w:numPr>
          <w:ilvl w:val="0"/>
          <w:numId w:val="6"/>
        </w:numPr>
        <w:kinsoku/>
        <w:overflowPunct/>
        <w:topLinePunct w:val="0"/>
        <w:autoSpaceDE/>
        <w:autoSpaceDN/>
        <w:bidi w:val="0"/>
        <w:adjustRightInd/>
        <w:snapToGrid/>
        <w:spacing w:line="360" w:lineRule="auto"/>
        <w:ind w:left="1050" w:leftChars="0" w:hanging="42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提交项目全部交付件并通过采购人审核，在此基础上形成项目的《交付件交付情况一览表》，经过采购人核对认可</w:t>
      </w:r>
    </w:p>
    <w:p>
      <w:pPr>
        <w:keepLines w:val="0"/>
        <w:pageBreakBefore w:val="0"/>
        <w:numPr>
          <w:ilvl w:val="0"/>
          <w:numId w:val="0"/>
        </w:numPr>
        <w:kinsoku/>
        <w:overflowPunct/>
        <w:topLinePunct w:val="0"/>
        <w:autoSpaceDE/>
        <w:autoSpaceDN/>
        <w:bidi w:val="0"/>
        <w:adjustRightInd/>
        <w:snapToGrid/>
        <w:spacing w:line="360" w:lineRule="auto"/>
        <w:ind w:firstLine="64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（2）系统验收标准</w:t>
      </w:r>
    </w:p>
    <w:p>
      <w:pPr>
        <w:keepLines w:val="0"/>
        <w:pageBreakBefore w:val="0"/>
        <w:numPr>
          <w:ilvl w:val="0"/>
          <w:numId w:val="6"/>
        </w:numPr>
        <w:kinsoku/>
        <w:overflowPunct/>
        <w:topLinePunct w:val="0"/>
        <w:autoSpaceDE/>
        <w:autoSpaceDN/>
        <w:bidi w:val="0"/>
        <w:adjustRightInd/>
        <w:snapToGrid/>
        <w:spacing w:line="360" w:lineRule="auto"/>
        <w:ind w:left="1050" w:leftChars="0" w:hanging="42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系统符合项目工作说明书的要求</w:t>
      </w:r>
    </w:p>
    <w:p>
      <w:pPr>
        <w:keepLines w:val="0"/>
        <w:pageBreakBefore w:val="0"/>
        <w:numPr>
          <w:ilvl w:val="0"/>
          <w:numId w:val="6"/>
        </w:numPr>
        <w:kinsoku/>
        <w:overflowPunct/>
        <w:topLinePunct w:val="0"/>
        <w:autoSpaceDE/>
        <w:autoSpaceDN/>
        <w:bidi w:val="0"/>
        <w:adjustRightInd/>
        <w:snapToGrid/>
        <w:spacing w:line="360" w:lineRule="auto"/>
        <w:ind w:left="1050" w:leftChars="0" w:hanging="42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新增系统的安全等级保护基本要求满足国家标准和监管要求中对本系统的相应要求</w:t>
      </w:r>
    </w:p>
    <w:p>
      <w:pPr>
        <w:keepLines w:val="0"/>
        <w:pageBreakBefore w:val="0"/>
        <w:numPr>
          <w:ilvl w:val="0"/>
          <w:numId w:val="6"/>
        </w:numPr>
        <w:kinsoku/>
        <w:overflowPunct/>
        <w:topLinePunct w:val="0"/>
        <w:autoSpaceDE/>
        <w:autoSpaceDN/>
        <w:bidi w:val="0"/>
        <w:adjustRightInd/>
        <w:snapToGrid/>
        <w:spacing w:line="360" w:lineRule="auto"/>
        <w:ind w:left="1050" w:leftChars="0" w:hanging="42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系统通过用户接收测试，若有遗留问题须在本项目最终验收启动前解决</w:t>
      </w:r>
    </w:p>
    <w:p>
      <w:pPr>
        <w:pStyle w:val="12"/>
        <w:numPr>
          <w:ilvl w:val="0"/>
          <w:numId w:val="7"/>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SLA指标考核</w:t>
      </w:r>
    </w:p>
    <w:p>
      <w:pPr>
        <w:pStyle w:val="16"/>
        <w:widowControl/>
        <w:numPr>
          <w:ilvl w:val="0"/>
          <w:numId w:val="0"/>
        </w:numPr>
        <w:spacing w:afterLines="0" w:line="360" w:lineRule="auto"/>
        <w:ind w:left="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rPr>
        <w:t>本项目发起验收时，进行SLA考核。</w:t>
      </w:r>
      <w:r>
        <w:rPr>
          <w:rFonts w:hint="eastAsia" w:ascii="宋体" w:hAnsi="宋体" w:eastAsia="宋体" w:cs="宋体"/>
          <w:sz w:val="24"/>
          <w:szCs w:val="24"/>
          <w:highlight w:val="none"/>
        </w:rPr>
        <w:t>指标</w:t>
      </w:r>
      <w:r>
        <w:rPr>
          <w:rFonts w:hint="eastAsia" w:ascii="宋体" w:hAnsi="宋体" w:eastAsia="宋体" w:cs="宋体"/>
          <w:sz w:val="24"/>
          <w:szCs w:val="24"/>
          <w:highlight w:val="none"/>
          <w:lang w:val="en-US" w:eastAsia="zh-CN"/>
        </w:rPr>
        <w:t>项如下：</w:t>
      </w:r>
    </w:p>
    <w:tbl>
      <w:tblPr>
        <w:tblStyle w:val="14"/>
        <w:tblW w:w="4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873"/>
        <w:gridCol w:w="1959"/>
        <w:gridCol w:w="4309"/>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pPr>
              <w:widowControl/>
              <w:spacing w:line="360" w:lineRule="auto"/>
              <w:jc w:val="center"/>
              <w:rPr>
                <w:rFonts w:hint="eastAsia" w:ascii="宋体" w:hAnsi="宋体" w:eastAsia="宋体" w:cs="宋体"/>
                <w:b/>
                <w:bCs/>
                <w:kern w:val="0"/>
                <w:sz w:val="24"/>
                <w:szCs w:val="24"/>
                <w:lang w:val="en-GB"/>
              </w:rPr>
            </w:pPr>
            <w:r>
              <w:rPr>
                <w:rFonts w:hint="eastAsia" w:ascii="宋体" w:hAnsi="宋体" w:eastAsia="宋体" w:cs="宋体"/>
                <w:b/>
                <w:bCs/>
                <w:kern w:val="0"/>
                <w:sz w:val="24"/>
                <w:szCs w:val="24"/>
                <w:lang w:val="en-GB"/>
              </w:rPr>
              <w:t>序号</w:t>
            </w:r>
          </w:p>
        </w:tc>
        <w:tc>
          <w:tcPr>
            <w:tcW w:w="520" w:type="pct"/>
            <w:noWrap w:val="0"/>
            <w:vAlign w:val="center"/>
          </w:tcPr>
          <w:p>
            <w:pPr>
              <w:widowControl/>
              <w:spacing w:line="360" w:lineRule="auto"/>
              <w:jc w:val="center"/>
              <w:rPr>
                <w:rFonts w:hint="eastAsia" w:ascii="宋体" w:hAnsi="宋体" w:eastAsia="宋体" w:cs="宋体"/>
                <w:b/>
                <w:bCs/>
                <w:kern w:val="0"/>
                <w:sz w:val="24"/>
                <w:szCs w:val="24"/>
                <w:lang w:val="en-GB"/>
              </w:rPr>
            </w:pPr>
            <w:r>
              <w:rPr>
                <w:rFonts w:hint="eastAsia" w:ascii="宋体" w:hAnsi="宋体" w:eastAsia="宋体" w:cs="宋体"/>
                <w:b/>
                <w:bCs/>
                <w:kern w:val="0"/>
                <w:sz w:val="24"/>
                <w:szCs w:val="24"/>
                <w:lang w:val="en-GB"/>
              </w:rPr>
              <w:t>指标名称</w:t>
            </w:r>
          </w:p>
        </w:tc>
        <w:tc>
          <w:tcPr>
            <w:tcW w:w="1168" w:type="pct"/>
            <w:noWrap w:val="0"/>
            <w:vAlign w:val="center"/>
          </w:tcPr>
          <w:p>
            <w:pPr>
              <w:widowControl/>
              <w:spacing w:line="360" w:lineRule="auto"/>
              <w:jc w:val="center"/>
              <w:rPr>
                <w:rFonts w:hint="eastAsia" w:ascii="宋体" w:hAnsi="宋体" w:eastAsia="宋体" w:cs="宋体"/>
                <w:b/>
                <w:bCs/>
                <w:kern w:val="0"/>
                <w:sz w:val="24"/>
                <w:szCs w:val="24"/>
                <w:lang w:val="en-GB"/>
              </w:rPr>
            </w:pPr>
            <w:r>
              <w:rPr>
                <w:rFonts w:hint="eastAsia" w:ascii="宋体" w:hAnsi="宋体" w:eastAsia="宋体" w:cs="宋体"/>
                <w:b/>
                <w:bCs/>
                <w:kern w:val="0"/>
                <w:sz w:val="24"/>
                <w:szCs w:val="24"/>
                <w:lang w:val="en-GB"/>
              </w:rPr>
              <w:t>量化标准</w:t>
            </w:r>
          </w:p>
        </w:tc>
        <w:tc>
          <w:tcPr>
            <w:tcW w:w="2567" w:type="pct"/>
            <w:noWrap w:val="0"/>
            <w:vAlign w:val="center"/>
          </w:tcPr>
          <w:p>
            <w:pPr>
              <w:widowControl/>
              <w:spacing w:line="360" w:lineRule="auto"/>
              <w:jc w:val="center"/>
              <w:rPr>
                <w:rFonts w:hint="eastAsia" w:ascii="宋体" w:hAnsi="宋体" w:eastAsia="宋体" w:cs="宋体"/>
                <w:b/>
                <w:bCs/>
                <w:kern w:val="0"/>
                <w:sz w:val="24"/>
                <w:szCs w:val="24"/>
                <w:lang w:val="en-GB"/>
              </w:rPr>
            </w:pPr>
            <w:r>
              <w:rPr>
                <w:rFonts w:hint="eastAsia" w:ascii="宋体" w:hAnsi="宋体" w:eastAsia="宋体" w:cs="宋体"/>
                <w:b/>
                <w:bCs/>
                <w:kern w:val="0"/>
                <w:sz w:val="24"/>
                <w:szCs w:val="24"/>
                <w:lang w:val="en-GB"/>
              </w:rPr>
              <w:t>评估方式</w:t>
            </w:r>
          </w:p>
          <w:p>
            <w:pPr>
              <w:widowControl/>
              <w:spacing w:line="360" w:lineRule="auto"/>
              <w:jc w:val="center"/>
              <w:rPr>
                <w:rFonts w:hint="eastAsia" w:ascii="宋体" w:hAnsi="宋体" w:eastAsia="宋体" w:cs="宋体"/>
                <w:b/>
                <w:bCs/>
                <w:kern w:val="0"/>
                <w:sz w:val="24"/>
                <w:szCs w:val="24"/>
                <w:lang w:val="en-GB"/>
              </w:rPr>
            </w:pPr>
            <w:r>
              <w:rPr>
                <w:rFonts w:hint="eastAsia" w:ascii="宋体" w:hAnsi="宋体" w:eastAsia="宋体" w:cs="宋体"/>
                <w:b/>
                <w:bCs/>
                <w:kern w:val="0"/>
                <w:sz w:val="24"/>
                <w:szCs w:val="24"/>
                <w:lang w:val="en-GB"/>
              </w:rPr>
              <w:t>（优100-良80-中60-差0）</w:t>
            </w:r>
          </w:p>
        </w:tc>
        <w:tc>
          <w:tcPr>
            <w:tcW w:w="520" w:type="pct"/>
            <w:noWrap w:val="0"/>
            <w:vAlign w:val="center"/>
          </w:tcPr>
          <w:p>
            <w:pPr>
              <w:widowControl/>
              <w:spacing w:line="360" w:lineRule="auto"/>
              <w:jc w:val="center"/>
              <w:rPr>
                <w:rFonts w:hint="eastAsia" w:ascii="宋体" w:hAnsi="宋体" w:eastAsia="宋体" w:cs="宋体"/>
                <w:b/>
                <w:bCs/>
                <w:kern w:val="0"/>
                <w:sz w:val="24"/>
                <w:szCs w:val="24"/>
                <w:lang w:val="en-GB"/>
              </w:rPr>
            </w:pPr>
            <w:r>
              <w:rPr>
                <w:rFonts w:hint="eastAsia" w:ascii="宋体" w:hAnsi="宋体" w:eastAsia="宋体" w:cs="宋体"/>
                <w:b/>
                <w:bCs/>
                <w:kern w:val="0"/>
                <w:sz w:val="24"/>
                <w:szCs w:val="24"/>
                <w:lang w:val="en-GB"/>
              </w:rPr>
              <w:t>指标占比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pPr>
              <w:pStyle w:val="17"/>
              <w:widowControl/>
              <w:spacing w:line="360" w:lineRule="auto"/>
              <w:ind w:firstLine="0" w:firstLineChars="0"/>
              <w:jc w:val="center"/>
              <w:rPr>
                <w:rFonts w:hint="eastAsia" w:ascii="宋体" w:hAnsi="宋体" w:eastAsia="宋体" w:cs="宋体"/>
                <w:kern w:val="0"/>
                <w:sz w:val="24"/>
                <w:szCs w:val="24"/>
                <w:lang w:val="de-DE"/>
              </w:rPr>
            </w:pPr>
            <w:r>
              <w:rPr>
                <w:rFonts w:hint="eastAsia" w:ascii="宋体" w:hAnsi="宋体" w:eastAsia="宋体" w:cs="宋体"/>
                <w:kern w:val="0"/>
                <w:sz w:val="24"/>
                <w:szCs w:val="24"/>
                <w:lang w:val="de-DE"/>
              </w:rPr>
              <w:t>1</w:t>
            </w:r>
          </w:p>
        </w:tc>
        <w:tc>
          <w:tcPr>
            <w:tcW w:w="520" w:type="pct"/>
            <w:noWrap w:val="0"/>
            <w:vAlign w:val="center"/>
          </w:tcPr>
          <w:p>
            <w:pPr>
              <w:pStyle w:val="17"/>
              <w:widowControl/>
              <w:spacing w:line="360" w:lineRule="auto"/>
              <w:ind w:firstLine="0" w:firstLineChars="0"/>
              <w:jc w:val="center"/>
              <w:rPr>
                <w:rFonts w:hint="eastAsia" w:ascii="宋体" w:hAnsi="宋体" w:eastAsia="宋体" w:cs="宋体"/>
                <w:kern w:val="0"/>
                <w:sz w:val="24"/>
                <w:szCs w:val="24"/>
                <w:lang w:val="de-DE"/>
              </w:rPr>
            </w:pPr>
            <w:r>
              <w:rPr>
                <w:rFonts w:hint="eastAsia" w:ascii="宋体" w:hAnsi="宋体" w:eastAsia="宋体" w:cs="宋体"/>
                <w:kern w:val="0"/>
                <w:sz w:val="24"/>
                <w:szCs w:val="24"/>
                <w:lang w:val="de-DE"/>
              </w:rPr>
              <w:t>本项目进度及计划执行率</w:t>
            </w:r>
          </w:p>
        </w:tc>
        <w:tc>
          <w:tcPr>
            <w:tcW w:w="1168" w:type="pct"/>
            <w:noWrap w:val="0"/>
            <w:vAlign w:val="center"/>
          </w:tcPr>
          <w:p>
            <w:pPr>
              <w:pStyle w:val="17"/>
              <w:widowControl/>
              <w:spacing w:line="360" w:lineRule="auto"/>
              <w:ind w:firstLine="0" w:firstLineChars="0"/>
              <w:jc w:val="center"/>
              <w:rPr>
                <w:rFonts w:hint="eastAsia" w:ascii="宋体" w:hAnsi="宋体" w:eastAsia="宋体" w:cs="宋体"/>
                <w:kern w:val="0"/>
                <w:sz w:val="24"/>
                <w:szCs w:val="24"/>
                <w:lang w:val="de-DE"/>
              </w:rPr>
            </w:pPr>
            <w:r>
              <w:rPr>
                <w:rFonts w:hint="eastAsia" w:ascii="宋体" w:hAnsi="宋体" w:eastAsia="宋体" w:cs="宋体"/>
                <w:kern w:val="0"/>
                <w:sz w:val="24"/>
                <w:szCs w:val="24"/>
                <w:lang w:val="de-DE"/>
              </w:rPr>
              <w:t>各阶段累计工作延后完成天数/各阶段累计计划天数</w:t>
            </w:r>
          </w:p>
        </w:tc>
        <w:tc>
          <w:tcPr>
            <w:tcW w:w="2567" w:type="pct"/>
            <w:noWrap w:val="0"/>
            <w:vAlign w:val="center"/>
          </w:tcPr>
          <w:p>
            <w:pPr>
              <w:pStyle w:val="17"/>
              <w:widowControl/>
              <w:spacing w:line="360" w:lineRule="auto"/>
              <w:ind w:firstLine="0" w:firstLineChars="0"/>
              <w:jc w:val="left"/>
              <w:rPr>
                <w:rFonts w:hint="eastAsia" w:ascii="宋体" w:hAnsi="宋体" w:eastAsia="宋体" w:cs="宋体"/>
                <w:kern w:val="0"/>
                <w:sz w:val="24"/>
                <w:szCs w:val="24"/>
                <w:lang w:val="en-GB"/>
              </w:rPr>
            </w:pPr>
            <w:r>
              <w:rPr>
                <w:rFonts w:hint="eastAsia" w:ascii="宋体" w:hAnsi="宋体" w:eastAsia="宋体" w:cs="宋体"/>
                <w:kern w:val="0"/>
                <w:sz w:val="24"/>
                <w:szCs w:val="24"/>
                <w:lang w:val="en-GB"/>
              </w:rPr>
              <w:t>1. 计划延误率</w:t>
            </w:r>
            <w:r>
              <w:rPr>
                <w:rFonts w:hint="eastAsia" w:ascii="宋体" w:hAnsi="宋体" w:eastAsia="宋体" w:cs="宋体"/>
                <w:kern w:val="0"/>
                <w:sz w:val="24"/>
                <w:szCs w:val="24"/>
                <w:lang w:val="en-US" w:eastAsia="zh-CN"/>
              </w:rPr>
              <w:t>为0</w:t>
            </w:r>
            <w:r>
              <w:rPr>
                <w:rFonts w:hint="eastAsia" w:ascii="宋体" w:hAnsi="宋体" w:eastAsia="宋体" w:cs="宋体"/>
                <w:kern w:val="0"/>
                <w:sz w:val="24"/>
                <w:szCs w:val="24"/>
                <w:lang w:val="en-GB"/>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val="en-GB"/>
              </w:rPr>
              <w:t>优</w:t>
            </w:r>
          </w:p>
          <w:p>
            <w:pPr>
              <w:pStyle w:val="17"/>
              <w:widowControl/>
              <w:spacing w:line="360" w:lineRule="auto"/>
              <w:ind w:firstLine="0" w:firstLineChars="0"/>
              <w:jc w:val="left"/>
              <w:rPr>
                <w:rFonts w:hint="eastAsia" w:ascii="宋体" w:hAnsi="宋体" w:eastAsia="宋体" w:cs="宋体"/>
                <w:kern w:val="0"/>
                <w:sz w:val="24"/>
                <w:szCs w:val="24"/>
                <w:lang w:val="en-GB"/>
              </w:rPr>
            </w:pPr>
            <w:r>
              <w:rPr>
                <w:rFonts w:hint="eastAsia" w:ascii="宋体" w:hAnsi="宋体" w:eastAsia="宋体" w:cs="宋体"/>
                <w:kern w:val="0"/>
                <w:sz w:val="24"/>
                <w:szCs w:val="24"/>
                <w:lang w:val="en-GB"/>
              </w:rPr>
              <w:t xml:space="preserve">2. </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lang w:val="en-GB"/>
              </w:rPr>
              <w:t>＜计划延误率≤</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val="en-GB"/>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val="en-GB"/>
              </w:rPr>
              <w:t>良</w:t>
            </w:r>
          </w:p>
          <w:p>
            <w:pPr>
              <w:pStyle w:val="17"/>
              <w:widowControl/>
              <w:spacing w:line="360" w:lineRule="auto"/>
              <w:ind w:firstLine="0" w:firstLineChars="0"/>
              <w:jc w:val="left"/>
              <w:rPr>
                <w:rFonts w:hint="eastAsia" w:ascii="宋体" w:hAnsi="宋体" w:eastAsia="宋体" w:cs="宋体"/>
                <w:kern w:val="0"/>
                <w:sz w:val="24"/>
                <w:szCs w:val="24"/>
                <w:lang w:val="en-GB"/>
              </w:rPr>
            </w:pPr>
            <w:r>
              <w:rPr>
                <w:rFonts w:hint="eastAsia" w:ascii="宋体" w:hAnsi="宋体" w:eastAsia="宋体" w:cs="宋体"/>
                <w:kern w:val="0"/>
                <w:sz w:val="24"/>
                <w:szCs w:val="24"/>
                <w:lang w:val="en-GB"/>
              </w:rPr>
              <w:t>3.</w:t>
            </w:r>
            <w:r>
              <w:rPr>
                <w:rFonts w:hint="eastAsia" w:ascii="宋体" w:hAnsi="宋体" w:eastAsia="宋体" w:cs="宋体"/>
                <w:kern w:val="0"/>
                <w:sz w:val="24"/>
                <w:szCs w:val="24"/>
                <w:lang w:val="en-US" w:eastAsia="zh-CN"/>
              </w:rPr>
              <w:t xml:space="preserve"> 1</w:t>
            </w:r>
            <w:r>
              <w:rPr>
                <w:rFonts w:hint="eastAsia" w:ascii="宋体" w:hAnsi="宋体" w:eastAsia="宋体" w:cs="宋体"/>
                <w:kern w:val="0"/>
                <w:sz w:val="24"/>
                <w:szCs w:val="24"/>
                <w:lang w:val="en-GB"/>
              </w:rPr>
              <w:t>%＜计划延误率≤</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en-GB"/>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val="en-GB"/>
              </w:rPr>
              <w:t>中</w:t>
            </w:r>
          </w:p>
          <w:p>
            <w:pPr>
              <w:pStyle w:val="17"/>
              <w:widowControl/>
              <w:spacing w:line="360" w:lineRule="auto"/>
              <w:ind w:firstLine="0" w:firstLineChars="0"/>
              <w:jc w:val="left"/>
              <w:rPr>
                <w:rFonts w:hint="eastAsia" w:ascii="宋体" w:hAnsi="宋体" w:eastAsia="宋体" w:cs="宋体"/>
                <w:kern w:val="0"/>
                <w:sz w:val="24"/>
                <w:szCs w:val="24"/>
                <w:lang w:val="en-GB"/>
              </w:rPr>
            </w:pPr>
            <w:r>
              <w:rPr>
                <w:rFonts w:hint="eastAsia" w:ascii="宋体" w:hAnsi="宋体" w:eastAsia="宋体" w:cs="宋体"/>
                <w:kern w:val="0"/>
                <w:sz w:val="24"/>
                <w:szCs w:val="24"/>
                <w:lang w:val="en-GB"/>
              </w:rPr>
              <w:t>4.</w:t>
            </w:r>
            <w:r>
              <w:rPr>
                <w:rFonts w:hint="eastAsia" w:ascii="宋体" w:hAnsi="宋体" w:eastAsia="宋体" w:cs="宋体"/>
                <w:kern w:val="0"/>
                <w:sz w:val="24"/>
                <w:szCs w:val="24"/>
                <w:lang w:val="en-US" w:eastAsia="zh-CN"/>
              </w:rPr>
              <w:t xml:space="preserve"> 3</w:t>
            </w:r>
            <w:r>
              <w:rPr>
                <w:rFonts w:hint="eastAsia" w:ascii="宋体" w:hAnsi="宋体" w:eastAsia="宋体" w:cs="宋体"/>
                <w:kern w:val="0"/>
                <w:sz w:val="24"/>
                <w:szCs w:val="24"/>
                <w:lang w:val="en-GB"/>
              </w:rPr>
              <w:t xml:space="preserve">%＜计划延误率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val="en-GB"/>
              </w:rPr>
              <w:t>差</w:t>
            </w:r>
          </w:p>
        </w:tc>
        <w:tc>
          <w:tcPr>
            <w:tcW w:w="520" w:type="pct"/>
            <w:noWrap w:val="0"/>
            <w:vAlign w:val="center"/>
          </w:tcPr>
          <w:p>
            <w:pPr>
              <w:pStyle w:val="17"/>
              <w:widowControl/>
              <w:spacing w:line="360" w:lineRule="auto"/>
              <w:ind w:firstLine="0" w:firstLineChars="0"/>
              <w:jc w:val="center"/>
              <w:rPr>
                <w:rFonts w:hint="eastAsia" w:ascii="宋体" w:hAnsi="宋体" w:eastAsia="宋体" w:cs="宋体"/>
                <w:kern w:val="0"/>
                <w:sz w:val="24"/>
                <w:szCs w:val="24"/>
                <w:lang w:val="de-DE"/>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val="de-D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pPr>
              <w:pStyle w:val="17"/>
              <w:widowControl/>
              <w:spacing w:line="360" w:lineRule="auto"/>
              <w:ind w:firstLine="0" w:firstLineChars="0"/>
              <w:jc w:val="center"/>
              <w:rPr>
                <w:rFonts w:hint="eastAsia" w:ascii="宋体" w:hAnsi="宋体" w:eastAsia="宋体" w:cs="宋体"/>
                <w:kern w:val="0"/>
                <w:sz w:val="24"/>
                <w:szCs w:val="24"/>
                <w:lang w:val="de-DE"/>
              </w:rPr>
            </w:pPr>
            <w:r>
              <w:rPr>
                <w:rFonts w:hint="eastAsia" w:ascii="宋体" w:hAnsi="宋体" w:eastAsia="宋体" w:cs="宋体"/>
                <w:kern w:val="0"/>
                <w:sz w:val="24"/>
                <w:szCs w:val="24"/>
                <w:lang w:val="de-DE"/>
              </w:rPr>
              <w:t>2</w:t>
            </w:r>
          </w:p>
        </w:tc>
        <w:tc>
          <w:tcPr>
            <w:tcW w:w="520" w:type="pct"/>
            <w:noWrap w:val="0"/>
            <w:vAlign w:val="center"/>
          </w:tcPr>
          <w:p>
            <w:pPr>
              <w:pStyle w:val="17"/>
              <w:widowControl/>
              <w:spacing w:line="360" w:lineRule="auto"/>
              <w:ind w:firstLine="0" w:firstLineChars="0"/>
              <w:jc w:val="center"/>
              <w:rPr>
                <w:rFonts w:hint="eastAsia" w:ascii="宋体" w:hAnsi="宋体" w:eastAsia="宋体" w:cs="宋体"/>
                <w:kern w:val="0"/>
                <w:sz w:val="24"/>
                <w:szCs w:val="24"/>
                <w:lang w:val="de-DE"/>
              </w:rPr>
            </w:pPr>
            <w:r>
              <w:rPr>
                <w:rFonts w:hint="eastAsia" w:ascii="宋体" w:hAnsi="宋体" w:eastAsia="宋体" w:cs="宋体"/>
                <w:kern w:val="0"/>
                <w:sz w:val="24"/>
                <w:szCs w:val="24"/>
                <w:lang w:val="de-DE"/>
              </w:rPr>
              <w:t>项目投产后问题数量</w:t>
            </w:r>
          </w:p>
        </w:tc>
        <w:tc>
          <w:tcPr>
            <w:tcW w:w="1168" w:type="pct"/>
            <w:noWrap w:val="0"/>
            <w:vAlign w:val="center"/>
          </w:tcPr>
          <w:p>
            <w:pPr>
              <w:pStyle w:val="17"/>
              <w:widowControl/>
              <w:spacing w:line="360" w:lineRule="auto"/>
              <w:ind w:firstLine="0" w:firstLineChars="0"/>
              <w:jc w:val="center"/>
              <w:rPr>
                <w:rFonts w:hint="eastAsia" w:ascii="宋体" w:hAnsi="宋体" w:eastAsia="宋体" w:cs="宋体"/>
                <w:kern w:val="0"/>
                <w:sz w:val="24"/>
                <w:szCs w:val="24"/>
                <w:lang w:val="de-DE"/>
              </w:rPr>
            </w:pPr>
            <w:r>
              <w:rPr>
                <w:rFonts w:hint="eastAsia" w:ascii="宋体" w:hAnsi="宋体" w:eastAsia="宋体" w:cs="宋体"/>
                <w:kern w:val="0"/>
                <w:sz w:val="24"/>
                <w:szCs w:val="24"/>
                <w:lang w:val="de-DE"/>
              </w:rPr>
              <w:t>投产后至验收时累计问题数</w:t>
            </w:r>
          </w:p>
        </w:tc>
        <w:tc>
          <w:tcPr>
            <w:tcW w:w="2567" w:type="pct"/>
            <w:noWrap w:val="0"/>
            <w:vAlign w:val="center"/>
          </w:tcPr>
          <w:p>
            <w:pPr>
              <w:pStyle w:val="17"/>
              <w:widowControl/>
              <w:spacing w:line="360" w:lineRule="auto"/>
              <w:ind w:firstLine="0" w:firstLineChars="0"/>
              <w:jc w:val="left"/>
              <w:rPr>
                <w:rFonts w:hint="eastAsia" w:ascii="宋体" w:hAnsi="宋体" w:eastAsia="宋体" w:cs="宋体"/>
                <w:kern w:val="0"/>
                <w:sz w:val="24"/>
                <w:szCs w:val="24"/>
                <w:lang w:val="en-GB"/>
              </w:rPr>
            </w:pPr>
            <w:r>
              <w:rPr>
                <w:rFonts w:hint="eastAsia" w:ascii="宋体" w:hAnsi="宋体" w:eastAsia="宋体" w:cs="宋体"/>
                <w:kern w:val="0"/>
                <w:sz w:val="24"/>
                <w:szCs w:val="24"/>
                <w:lang w:val="en-GB"/>
              </w:rPr>
              <w:t>1.每100功能点每</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en-GB"/>
              </w:rPr>
              <w:t>月发现问题数&lt;5   优</w:t>
            </w:r>
          </w:p>
          <w:p>
            <w:pPr>
              <w:pStyle w:val="17"/>
              <w:widowControl/>
              <w:spacing w:line="360" w:lineRule="auto"/>
              <w:ind w:firstLine="0" w:firstLineChars="0"/>
              <w:jc w:val="left"/>
              <w:rPr>
                <w:rFonts w:hint="eastAsia" w:ascii="宋体" w:hAnsi="宋体" w:eastAsia="宋体" w:cs="宋体"/>
                <w:kern w:val="0"/>
                <w:sz w:val="24"/>
                <w:szCs w:val="24"/>
                <w:lang w:val="en-GB"/>
              </w:rPr>
            </w:pPr>
            <w:r>
              <w:rPr>
                <w:rFonts w:hint="eastAsia" w:ascii="宋体" w:hAnsi="宋体" w:eastAsia="宋体" w:cs="宋体"/>
                <w:kern w:val="0"/>
                <w:sz w:val="24"/>
                <w:szCs w:val="24"/>
                <w:lang w:val="en-GB"/>
              </w:rPr>
              <w:t>2.每100功能点每</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en-GB"/>
              </w:rPr>
              <w:t>月发现问题数&lt;=10 良</w:t>
            </w:r>
          </w:p>
          <w:p>
            <w:pPr>
              <w:pStyle w:val="17"/>
              <w:widowControl/>
              <w:spacing w:line="360" w:lineRule="auto"/>
              <w:ind w:firstLine="0" w:firstLineChars="0"/>
              <w:jc w:val="left"/>
              <w:rPr>
                <w:rFonts w:hint="eastAsia" w:ascii="宋体" w:hAnsi="宋体" w:eastAsia="宋体" w:cs="宋体"/>
                <w:kern w:val="0"/>
                <w:sz w:val="24"/>
                <w:szCs w:val="24"/>
                <w:lang w:val="en-GB"/>
              </w:rPr>
            </w:pPr>
            <w:r>
              <w:rPr>
                <w:rFonts w:hint="eastAsia" w:ascii="宋体" w:hAnsi="宋体" w:eastAsia="宋体" w:cs="宋体"/>
                <w:kern w:val="0"/>
                <w:sz w:val="24"/>
                <w:szCs w:val="24"/>
                <w:lang w:val="en-GB"/>
              </w:rPr>
              <w:t>3.每100功能点每</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en-GB"/>
              </w:rPr>
              <w:t>月发现问题数&lt;=15 中</w:t>
            </w:r>
          </w:p>
          <w:p>
            <w:pPr>
              <w:pStyle w:val="17"/>
              <w:widowControl/>
              <w:spacing w:line="360" w:lineRule="auto"/>
              <w:ind w:firstLine="0" w:firstLineChars="0"/>
              <w:jc w:val="left"/>
              <w:rPr>
                <w:rFonts w:hint="eastAsia" w:ascii="宋体" w:hAnsi="宋体" w:eastAsia="宋体" w:cs="宋体"/>
                <w:kern w:val="0"/>
                <w:sz w:val="24"/>
                <w:szCs w:val="24"/>
                <w:lang w:val="en-GB"/>
              </w:rPr>
            </w:pPr>
            <w:r>
              <w:rPr>
                <w:rFonts w:hint="eastAsia" w:ascii="宋体" w:hAnsi="宋体" w:eastAsia="宋体" w:cs="宋体"/>
                <w:kern w:val="0"/>
                <w:sz w:val="24"/>
                <w:szCs w:val="24"/>
                <w:lang w:val="en-GB"/>
              </w:rPr>
              <w:t>4.每100功能点每</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en-GB"/>
              </w:rPr>
              <w:t>月发现问题数&gt;15  差</w:t>
            </w:r>
          </w:p>
        </w:tc>
        <w:tc>
          <w:tcPr>
            <w:tcW w:w="520" w:type="pct"/>
            <w:noWrap w:val="0"/>
            <w:vAlign w:val="center"/>
          </w:tcPr>
          <w:p>
            <w:pPr>
              <w:pStyle w:val="17"/>
              <w:widowControl/>
              <w:spacing w:line="360" w:lineRule="auto"/>
              <w:ind w:firstLine="0" w:firstLineChars="0"/>
              <w:jc w:val="center"/>
              <w:rPr>
                <w:rFonts w:hint="eastAsia" w:ascii="宋体" w:hAnsi="宋体" w:eastAsia="宋体" w:cs="宋体"/>
                <w:kern w:val="0"/>
                <w:sz w:val="24"/>
                <w:szCs w:val="24"/>
                <w:lang w:val="de-DE"/>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de-D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pPr>
              <w:pStyle w:val="17"/>
              <w:widowControl/>
              <w:spacing w:line="36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520" w:type="pct"/>
            <w:noWrap w:val="0"/>
            <w:vAlign w:val="center"/>
          </w:tcPr>
          <w:p>
            <w:pPr>
              <w:pStyle w:val="17"/>
              <w:widowControl/>
              <w:spacing w:line="36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工单未及时处理率</w:t>
            </w:r>
          </w:p>
        </w:tc>
        <w:tc>
          <w:tcPr>
            <w:tcW w:w="1168" w:type="pct"/>
            <w:noWrap w:val="0"/>
            <w:vAlign w:val="center"/>
          </w:tcPr>
          <w:p>
            <w:pPr>
              <w:pStyle w:val="17"/>
              <w:widowControl/>
              <w:spacing w:line="36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工单处理时长超一个月工单数量/总工单数量</w:t>
            </w:r>
          </w:p>
        </w:tc>
        <w:tc>
          <w:tcPr>
            <w:tcW w:w="2567" w:type="pct"/>
            <w:noWrap w:val="0"/>
            <w:vAlign w:val="center"/>
          </w:tcPr>
          <w:p>
            <w:pPr>
              <w:pStyle w:val="17"/>
              <w:widowControl/>
              <w:numPr>
                <w:ilvl w:val="0"/>
                <w:numId w:val="0"/>
              </w:numPr>
              <w:spacing w:line="360" w:lineRule="auto"/>
              <w:ind w:firstLine="0" w:firstLineChars="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 工单未及时处理率</w:t>
            </w:r>
            <w:r>
              <w:rPr>
                <w:rFonts w:hint="eastAsia" w:ascii="宋体" w:hAnsi="宋体" w:eastAsia="宋体" w:cs="宋体"/>
                <w:kern w:val="0"/>
                <w:sz w:val="24"/>
                <w:szCs w:val="24"/>
                <w:lang w:val="en-GB"/>
              </w:rPr>
              <w:t>≤0%</w:t>
            </w:r>
            <w:r>
              <w:rPr>
                <w:rFonts w:hint="eastAsia" w:ascii="宋体" w:hAnsi="宋体" w:eastAsia="宋体" w:cs="宋体"/>
                <w:kern w:val="0"/>
                <w:sz w:val="24"/>
                <w:szCs w:val="24"/>
                <w:lang w:val="en-US" w:eastAsia="zh-CN"/>
              </w:rPr>
              <w:t xml:space="preserve">     优</w:t>
            </w:r>
          </w:p>
          <w:p>
            <w:pPr>
              <w:pStyle w:val="17"/>
              <w:widowControl/>
              <w:numPr>
                <w:ilvl w:val="0"/>
                <w:numId w:val="0"/>
              </w:numPr>
              <w:spacing w:line="360" w:lineRule="auto"/>
              <w:ind w:firstLine="0" w:firstLineChars="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 0%&lt;工单未及时处理率</w:t>
            </w:r>
            <w:r>
              <w:rPr>
                <w:rFonts w:hint="eastAsia" w:ascii="宋体" w:hAnsi="宋体" w:eastAsia="宋体" w:cs="宋体"/>
                <w:kern w:val="0"/>
                <w:sz w:val="24"/>
                <w:szCs w:val="24"/>
                <w:lang w:val="en-GB"/>
              </w:rPr>
              <w:t>≤</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val="en-GB"/>
              </w:rPr>
              <w:t>%</w:t>
            </w:r>
            <w:r>
              <w:rPr>
                <w:rFonts w:hint="eastAsia" w:ascii="宋体" w:hAnsi="宋体" w:eastAsia="宋体" w:cs="宋体"/>
                <w:kern w:val="0"/>
                <w:sz w:val="24"/>
                <w:szCs w:val="24"/>
                <w:lang w:val="en-US" w:eastAsia="zh-CN"/>
              </w:rPr>
              <w:t xml:space="preserve">  良</w:t>
            </w:r>
          </w:p>
          <w:p>
            <w:pPr>
              <w:pStyle w:val="17"/>
              <w:widowControl/>
              <w:numPr>
                <w:ilvl w:val="0"/>
                <w:numId w:val="0"/>
              </w:numPr>
              <w:spacing w:line="360" w:lineRule="auto"/>
              <w:ind w:firstLine="0" w:firstLineChars="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 5%&lt;工单未及时处理率</w:t>
            </w:r>
            <w:r>
              <w:rPr>
                <w:rFonts w:hint="eastAsia" w:ascii="宋体" w:hAnsi="宋体" w:eastAsia="宋体" w:cs="宋体"/>
                <w:kern w:val="0"/>
                <w:sz w:val="24"/>
                <w:szCs w:val="24"/>
                <w:lang w:val="en-GB"/>
              </w:rPr>
              <w:t>≤</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lang w:val="en-GB"/>
              </w:rPr>
              <w:t>%</w:t>
            </w:r>
            <w:r>
              <w:rPr>
                <w:rFonts w:hint="eastAsia" w:ascii="宋体" w:hAnsi="宋体" w:eastAsia="宋体" w:cs="宋体"/>
                <w:kern w:val="0"/>
                <w:sz w:val="24"/>
                <w:szCs w:val="24"/>
                <w:lang w:val="en-US" w:eastAsia="zh-CN"/>
              </w:rPr>
              <w:t xml:space="preserve"> 中</w:t>
            </w:r>
          </w:p>
          <w:p>
            <w:pPr>
              <w:pStyle w:val="17"/>
              <w:widowControl/>
              <w:numPr>
                <w:ilvl w:val="0"/>
                <w:numId w:val="0"/>
              </w:numPr>
              <w:spacing w:line="360" w:lineRule="auto"/>
              <w:ind w:firstLine="0" w:firstLineChars="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 15%&lt;工单未及时处理率     差</w:t>
            </w:r>
          </w:p>
        </w:tc>
        <w:tc>
          <w:tcPr>
            <w:tcW w:w="520" w:type="pct"/>
            <w:noWrap w:val="0"/>
            <w:vAlign w:val="center"/>
          </w:tcPr>
          <w:p>
            <w:pPr>
              <w:pStyle w:val="17"/>
              <w:widowControl/>
              <w:spacing w:line="36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 w:type="pct"/>
            <w:noWrap w:val="0"/>
            <w:vAlign w:val="center"/>
          </w:tcPr>
          <w:p>
            <w:pPr>
              <w:pStyle w:val="17"/>
              <w:widowControl/>
              <w:spacing w:line="36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520" w:type="pct"/>
            <w:noWrap w:val="0"/>
            <w:vAlign w:val="center"/>
          </w:tcPr>
          <w:p>
            <w:pPr>
              <w:pStyle w:val="17"/>
              <w:widowControl/>
              <w:spacing w:line="36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异常考勤率</w:t>
            </w:r>
          </w:p>
        </w:tc>
        <w:tc>
          <w:tcPr>
            <w:tcW w:w="1168" w:type="pct"/>
            <w:noWrap w:val="0"/>
            <w:vAlign w:val="center"/>
          </w:tcPr>
          <w:p>
            <w:pPr>
              <w:pStyle w:val="17"/>
              <w:widowControl/>
              <w:spacing w:line="36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驻场期间异常考勤天数/应出勤天数</w:t>
            </w:r>
          </w:p>
        </w:tc>
        <w:tc>
          <w:tcPr>
            <w:tcW w:w="2567" w:type="pct"/>
            <w:noWrap w:val="0"/>
            <w:vAlign w:val="center"/>
          </w:tcPr>
          <w:p>
            <w:pPr>
              <w:pStyle w:val="17"/>
              <w:widowControl/>
              <w:spacing w:line="360" w:lineRule="auto"/>
              <w:ind w:firstLine="0" w:firstLineChars="0"/>
              <w:jc w:val="left"/>
              <w:rPr>
                <w:rFonts w:hint="eastAsia" w:ascii="宋体" w:hAnsi="宋体" w:eastAsia="宋体" w:cs="宋体"/>
                <w:kern w:val="0"/>
                <w:sz w:val="24"/>
                <w:szCs w:val="24"/>
                <w:lang w:val="en-GB"/>
              </w:rPr>
            </w:pPr>
            <w:r>
              <w:rPr>
                <w:rFonts w:hint="eastAsia" w:ascii="宋体" w:hAnsi="宋体" w:eastAsia="宋体" w:cs="宋体"/>
                <w:kern w:val="0"/>
                <w:sz w:val="24"/>
                <w:szCs w:val="24"/>
                <w:lang w:val="en-GB"/>
              </w:rPr>
              <w:t xml:space="preserve">1. </w:t>
            </w:r>
            <w:r>
              <w:rPr>
                <w:rFonts w:hint="eastAsia" w:ascii="宋体" w:hAnsi="宋体" w:eastAsia="宋体" w:cs="宋体"/>
                <w:kern w:val="0"/>
                <w:sz w:val="24"/>
                <w:szCs w:val="24"/>
                <w:lang w:val="en-US" w:eastAsia="zh-CN"/>
              </w:rPr>
              <w:t>异常考勤</w:t>
            </w:r>
            <w:r>
              <w:rPr>
                <w:rFonts w:hint="eastAsia" w:ascii="宋体" w:hAnsi="宋体" w:eastAsia="宋体" w:cs="宋体"/>
                <w:kern w:val="0"/>
                <w:sz w:val="24"/>
                <w:szCs w:val="24"/>
                <w:lang w:val="en-GB"/>
              </w:rPr>
              <w:t>率≤</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val="en-GB"/>
              </w:rPr>
              <w:t>%        优</w:t>
            </w:r>
          </w:p>
          <w:p>
            <w:pPr>
              <w:pStyle w:val="17"/>
              <w:widowControl/>
              <w:spacing w:line="360" w:lineRule="auto"/>
              <w:ind w:firstLine="0" w:firstLineChars="0"/>
              <w:jc w:val="left"/>
              <w:rPr>
                <w:rFonts w:hint="eastAsia" w:ascii="宋体" w:hAnsi="宋体" w:eastAsia="宋体" w:cs="宋体"/>
                <w:kern w:val="0"/>
                <w:sz w:val="24"/>
                <w:szCs w:val="24"/>
                <w:lang w:val="en-GB"/>
              </w:rPr>
            </w:pPr>
            <w:r>
              <w:rPr>
                <w:rFonts w:hint="eastAsia" w:ascii="宋体" w:hAnsi="宋体" w:eastAsia="宋体" w:cs="宋体"/>
                <w:kern w:val="0"/>
                <w:sz w:val="24"/>
                <w:szCs w:val="24"/>
                <w:lang w:val="en-GB"/>
              </w:rPr>
              <w:t xml:space="preserve">2. </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val="en-GB"/>
              </w:rPr>
              <w:t>%＜</w:t>
            </w:r>
            <w:r>
              <w:rPr>
                <w:rFonts w:hint="eastAsia" w:ascii="宋体" w:hAnsi="宋体" w:eastAsia="宋体" w:cs="宋体"/>
                <w:kern w:val="0"/>
                <w:sz w:val="24"/>
                <w:szCs w:val="24"/>
                <w:lang w:val="en-US" w:eastAsia="zh-CN"/>
              </w:rPr>
              <w:t>异常考勤</w:t>
            </w:r>
            <w:r>
              <w:rPr>
                <w:rFonts w:hint="eastAsia" w:ascii="宋体" w:hAnsi="宋体" w:eastAsia="宋体" w:cs="宋体"/>
                <w:kern w:val="0"/>
                <w:sz w:val="24"/>
                <w:szCs w:val="24"/>
                <w:lang w:val="en-GB"/>
              </w:rPr>
              <w:t>率≤</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lang w:val="en-GB"/>
              </w:rPr>
              <w:t>%   良</w:t>
            </w:r>
          </w:p>
          <w:p>
            <w:pPr>
              <w:pStyle w:val="17"/>
              <w:widowControl/>
              <w:spacing w:line="360" w:lineRule="auto"/>
              <w:ind w:firstLine="0" w:firstLineChars="0"/>
              <w:jc w:val="left"/>
              <w:rPr>
                <w:rFonts w:hint="eastAsia" w:ascii="宋体" w:hAnsi="宋体" w:eastAsia="宋体" w:cs="宋体"/>
                <w:kern w:val="0"/>
                <w:sz w:val="24"/>
                <w:szCs w:val="24"/>
                <w:lang w:val="en-GB"/>
              </w:rPr>
            </w:pPr>
            <w:r>
              <w:rPr>
                <w:rFonts w:hint="eastAsia" w:ascii="宋体" w:hAnsi="宋体" w:eastAsia="宋体" w:cs="宋体"/>
                <w:kern w:val="0"/>
                <w:sz w:val="24"/>
                <w:szCs w:val="24"/>
                <w:lang w:val="en-GB"/>
              </w:rPr>
              <w:t>3.</w:t>
            </w:r>
            <w:r>
              <w:rPr>
                <w:rFonts w:hint="eastAsia" w:ascii="宋体" w:hAnsi="宋体" w:eastAsia="宋体" w:cs="宋体"/>
                <w:kern w:val="0"/>
                <w:sz w:val="24"/>
                <w:szCs w:val="24"/>
                <w:lang w:val="en-US" w:eastAsia="zh-CN"/>
              </w:rPr>
              <w:t xml:space="preserve"> 10</w:t>
            </w:r>
            <w:r>
              <w:rPr>
                <w:rFonts w:hint="eastAsia" w:ascii="宋体" w:hAnsi="宋体" w:eastAsia="宋体" w:cs="宋体"/>
                <w:kern w:val="0"/>
                <w:sz w:val="24"/>
                <w:szCs w:val="24"/>
                <w:lang w:val="en-GB"/>
              </w:rPr>
              <w:t>%＜</w:t>
            </w:r>
            <w:r>
              <w:rPr>
                <w:rFonts w:hint="eastAsia" w:ascii="宋体" w:hAnsi="宋体" w:eastAsia="宋体" w:cs="宋体"/>
                <w:kern w:val="0"/>
                <w:sz w:val="24"/>
                <w:szCs w:val="24"/>
                <w:lang w:val="en-US" w:eastAsia="zh-CN"/>
              </w:rPr>
              <w:t>异常考勤</w:t>
            </w:r>
            <w:r>
              <w:rPr>
                <w:rFonts w:hint="eastAsia" w:ascii="宋体" w:hAnsi="宋体" w:eastAsia="宋体" w:cs="宋体"/>
                <w:kern w:val="0"/>
                <w:sz w:val="24"/>
                <w:szCs w:val="24"/>
                <w:lang w:val="en-GB"/>
              </w:rPr>
              <w:t>率≤15%  中</w:t>
            </w:r>
          </w:p>
          <w:p>
            <w:pPr>
              <w:pStyle w:val="17"/>
              <w:widowControl/>
              <w:numPr>
                <w:ilvl w:val="0"/>
                <w:numId w:val="0"/>
              </w:numPr>
              <w:spacing w:line="360" w:lineRule="auto"/>
              <w:ind w:firstLine="0" w:firstLineChars="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GB"/>
              </w:rPr>
              <w:t>4.</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val="en-GB"/>
              </w:rPr>
              <w:t>15%＜</w:t>
            </w:r>
            <w:r>
              <w:rPr>
                <w:rFonts w:hint="eastAsia" w:ascii="宋体" w:hAnsi="宋体" w:eastAsia="宋体" w:cs="宋体"/>
                <w:kern w:val="0"/>
                <w:sz w:val="24"/>
                <w:szCs w:val="24"/>
                <w:lang w:val="en-US" w:eastAsia="zh-CN"/>
              </w:rPr>
              <w:t>异常考勤</w:t>
            </w:r>
            <w:r>
              <w:rPr>
                <w:rFonts w:hint="eastAsia" w:ascii="宋体" w:hAnsi="宋体" w:eastAsia="宋体" w:cs="宋体"/>
                <w:kern w:val="0"/>
                <w:sz w:val="24"/>
                <w:szCs w:val="24"/>
                <w:lang w:val="en-GB"/>
              </w:rPr>
              <w:t>率       差</w:t>
            </w:r>
          </w:p>
        </w:tc>
        <w:tc>
          <w:tcPr>
            <w:tcW w:w="520" w:type="pct"/>
            <w:noWrap w:val="0"/>
            <w:vAlign w:val="center"/>
          </w:tcPr>
          <w:p>
            <w:pPr>
              <w:pStyle w:val="17"/>
              <w:widowControl/>
              <w:spacing w:line="360" w:lineRule="auto"/>
              <w:ind w:firstLine="0" w:firstLine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r>
    </w:tbl>
    <w:p>
      <w:pPr>
        <w:pStyle w:val="16"/>
        <w:spacing w:afterLines="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根据SLA最后得分情况，划分为四个等级： </w:t>
      </w:r>
    </w:p>
    <w:p>
      <w:pPr>
        <w:pStyle w:val="16"/>
        <w:spacing w:afterLines="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SLA&gt;=95的为优</w:t>
      </w:r>
      <w:r>
        <w:rPr>
          <w:rFonts w:hint="eastAsia" w:ascii="宋体" w:hAnsi="宋体" w:eastAsia="宋体" w:cs="宋体"/>
          <w:sz w:val="24"/>
          <w:szCs w:val="24"/>
          <w:highlight w:val="none"/>
          <w:lang w:eastAsia="zh-CN"/>
        </w:rPr>
        <w:t>；</w:t>
      </w:r>
    </w:p>
    <w:p>
      <w:pPr>
        <w:pStyle w:val="16"/>
        <w:spacing w:afterLines="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SLA在80-95的为良</w:t>
      </w:r>
      <w:r>
        <w:rPr>
          <w:rFonts w:hint="eastAsia" w:ascii="宋体" w:hAnsi="宋体" w:eastAsia="宋体" w:cs="宋体"/>
          <w:sz w:val="24"/>
          <w:szCs w:val="24"/>
          <w:highlight w:val="none"/>
          <w:lang w:eastAsia="zh-CN"/>
        </w:rPr>
        <w:t>；</w:t>
      </w:r>
    </w:p>
    <w:p>
      <w:pPr>
        <w:pStyle w:val="16"/>
        <w:spacing w:afterLines="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SLA在60-80的为中</w:t>
      </w:r>
      <w:r>
        <w:rPr>
          <w:rFonts w:hint="eastAsia" w:ascii="宋体" w:hAnsi="宋体" w:eastAsia="宋体" w:cs="宋体"/>
          <w:sz w:val="24"/>
          <w:szCs w:val="24"/>
          <w:highlight w:val="none"/>
          <w:lang w:eastAsia="zh-CN"/>
        </w:rPr>
        <w:t>；</w:t>
      </w:r>
    </w:p>
    <w:p>
      <w:pPr>
        <w:keepLines w:val="0"/>
        <w:pageBreakBefore w:val="0"/>
        <w:numPr>
          <w:ilvl w:val="0"/>
          <w:numId w:val="0"/>
        </w:numPr>
        <w:kinsoku/>
        <w:overflowPunct/>
        <w:topLinePunct w:val="0"/>
        <w:autoSpaceDE/>
        <w:autoSpaceDN/>
        <w:bidi w:val="0"/>
        <w:adjustRightInd/>
        <w:snapToGrid/>
        <w:spacing w:line="360" w:lineRule="auto"/>
        <w:ind w:left="630" w:leftChars="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SLA&lt;60的为差</w:t>
      </w:r>
      <w:r>
        <w:rPr>
          <w:rFonts w:hint="eastAsia" w:ascii="宋体" w:hAnsi="宋体" w:eastAsia="宋体" w:cs="宋体"/>
          <w:sz w:val="24"/>
          <w:szCs w:val="24"/>
          <w:highlight w:val="none"/>
          <w:lang w:eastAsia="zh-CN"/>
        </w:rPr>
        <w:t>。</w:t>
      </w:r>
    </w:p>
    <w:p>
      <w:pPr>
        <w:pageBreakBefore w:val="0"/>
        <w:numPr>
          <w:ilvl w:val="0"/>
          <w:numId w:val="5"/>
        </w:numPr>
        <w:kinsoku/>
        <w:overflowPunct/>
        <w:topLinePunct w:val="0"/>
        <w:autoSpaceDE/>
        <w:autoSpaceDN/>
        <w:bidi w:val="0"/>
        <w:adjustRightInd w:val="0"/>
        <w:snapToGrid/>
        <w:spacing w:beforeLines="0" w:afterLines="0"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SLA考核的罚则</w:t>
      </w:r>
    </w:p>
    <w:p>
      <w:pPr>
        <w:pStyle w:val="16"/>
        <w:keepNext w:val="0"/>
        <w:keepLines w:val="0"/>
        <w:pageBreakBefore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SLA考核为良：约谈公司高管，提出服务质量保障具体措施并限期落实；</w:t>
      </w:r>
    </w:p>
    <w:p>
      <w:pPr>
        <w:pStyle w:val="16"/>
        <w:keepNext w:val="0"/>
        <w:keepLines w:val="0"/>
        <w:pageBreakBefore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SLA考核为中：约谈公司高管，提出服务质量保障具体措施并限期落实，从本次付款起每期付款顺次延迟半年支付，如有多次延迟的，延迟期限叠加。</w:t>
      </w:r>
    </w:p>
    <w:p>
      <w:pPr>
        <w:spacing w:beforeLines="0" w:afterLines="0" w:line="360" w:lineRule="auto"/>
        <w:ind w:firstLine="64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SLA 考核为差：约谈公司高管，提出服务质量保障具体措施并限期落实，暂停本次及以后各期款项支付，直至下次考核时服务质量达到中级以上，接续按以上标准执行。</w:t>
      </w:r>
      <w:r>
        <w:rPr>
          <w:rFonts w:hint="eastAsia" w:ascii="宋体" w:hAnsi="宋体" w:eastAsia="宋体" w:cs="宋体"/>
          <w:sz w:val="24"/>
          <w:szCs w:val="24"/>
          <w:highlight w:val="none"/>
          <w:lang w:val="en-US" w:eastAsia="zh-CN"/>
        </w:rPr>
        <w:t>如已是最后一次验收，则扣除</w:t>
      </w:r>
      <w:r>
        <w:rPr>
          <w:rFonts w:hint="eastAsia" w:ascii="宋体" w:hAnsi="宋体" w:eastAsia="宋体" w:cs="宋体"/>
          <w:sz w:val="24"/>
          <w:szCs w:val="24"/>
          <w:highlight w:val="none"/>
        </w:rPr>
        <w:t>“合同价款”的</w:t>
      </w:r>
      <w:r>
        <w:rPr>
          <w:rFonts w:hint="eastAsia" w:ascii="宋体" w:hAnsi="宋体" w:eastAsia="宋体" w:cs="宋体"/>
          <w:sz w:val="24"/>
          <w:szCs w:val="24"/>
          <w:highlight w:val="none"/>
          <w:lang w:val="en-US" w:eastAsia="zh-CN"/>
        </w:rPr>
        <w:t>百</w:t>
      </w:r>
      <w:r>
        <w:rPr>
          <w:rFonts w:hint="eastAsia" w:ascii="宋体" w:hAnsi="宋体" w:eastAsia="宋体" w:cs="宋体"/>
          <w:sz w:val="24"/>
          <w:szCs w:val="24"/>
          <w:highlight w:val="none"/>
        </w:rPr>
        <w:t>分之</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pPr>
        <w:pageBreakBefore w:val="0"/>
        <w:kinsoku/>
        <w:overflowPunct/>
        <w:topLinePunct w:val="0"/>
        <w:autoSpaceDE/>
        <w:autoSpaceDN/>
        <w:bidi w:val="0"/>
        <w:adjustRightInd w:val="0"/>
        <w:snapToGrid/>
        <w:spacing w:beforeLines="0" w:afterLines="0" w:line="360" w:lineRule="auto"/>
        <w:ind w:firstLine="482" w:firstLineChars="200"/>
        <w:textAlignment w:val="baseline"/>
        <w:outlineLvl w:val="1"/>
        <w:rPr>
          <w:rFonts w:hint="eastAsia" w:ascii="宋体" w:hAnsi="宋体" w:eastAsia="宋体" w:cs="宋体"/>
          <w:b/>
          <w:bCs/>
          <w:color w:val="auto"/>
          <w:sz w:val="24"/>
          <w:szCs w:val="24"/>
          <w:lang w:val="en-US" w:eastAsia="zh-CN"/>
        </w:rPr>
      </w:pPr>
      <w:bookmarkStart w:id="26" w:name="_Toc11360"/>
      <w:r>
        <w:rPr>
          <w:rFonts w:hint="eastAsia" w:ascii="宋体" w:hAnsi="宋体" w:eastAsia="宋体" w:cs="宋体"/>
          <w:b/>
          <w:bCs/>
          <w:color w:val="auto"/>
          <w:sz w:val="24"/>
          <w:szCs w:val="24"/>
          <w:lang w:val="en-US" w:eastAsia="zh-CN"/>
        </w:rPr>
        <w:fldChar w:fldCharType="begin"/>
      </w:r>
      <w:r>
        <w:rPr>
          <w:rFonts w:hint="eastAsia" w:ascii="宋体" w:hAnsi="宋体" w:eastAsia="宋体" w:cs="宋体"/>
          <w:b/>
          <w:bCs/>
          <w:color w:val="auto"/>
          <w:sz w:val="24"/>
          <w:szCs w:val="24"/>
          <w:lang w:val="en-US" w:eastAsia="zh-CN"/>
        </w:rPr>
        <w:instrText xml:space="preserve"> HYPERLINK \l _Toc15097 </w:instrText>
      </w:r>
      <w:r>
        <w:rPr>
          <w:rFonts w:hint="eastAsia" w:ascii="宋体" w:hAnsi="宋体" w:eastAsia="宋体" w:cs="宋体"/>
          <w:b/>
          <w:bCs/>
          <w:color w:val="auto"/>
          <w:sz w:val="24"/>
          <w:szCs w:val="24"/>
          <w:lang w:val="en-US" w:eastAsia="zh-CN"/>
        </w:rPr>
        <w:fldChar w:fldCharType="separate"/>
      </w:r>
      <w:r>
        <w:rPr>
          <w:rFonts w:hint="eastAsia" w:ascii="宋体" w:hAnsi="宋体" w:eastAsia="宋体" w:cs="宋体"/>
          <w:b/>
          <w:bCs/>
          <w:color w:val="auto"/>
          <w:sz w:val="24"/>
          <w:szCs w:val="24"/>
          <w:lang w:val="en-US" w:eastAsia="zh-CN"/>
        </w:rPr>
        <w:t>十一、投标资质要求</w:t>
      </w:r>
      <w:r>
        <w:rPr>
          <w:rFonts w:hint="eastAsia" w:ascii="宋体" w:hAnsi="宋体" w:eastAsia="宋体" w:cs="宋体"/>
          <w:b/>
          <w:bCs/>
          <w:color w:val="auto"/>
          <w:sz w:val="24"/>
          <w:szCs w:val="24"/>
          <w:lang w:val="en-US" w:eastAsia="zh-CN"/>
        </w:rPr>
        <w:fldChar w:fldCharType="end"/>
      </w:r>
      <w:bookmarkEnd w:id="26"/>
    </w:p>
    <w:p>
      <w:pPr>
        <w:keepLines w:val="0"/>
        <w:pageBreakBefore w:val="0"/>
        <w:numPr>
          <w:ilvl w:val="0"/>
          <w:numId w:val="0"/>
        </w:numPr>
        <w:kinsoku/>
        <w:overflowPunct/>
        <w:topLinePunct w:val="0"/>
        <w:autoSpaceDE/>
        <w:autoSpaceDN/>
        <w:bidi w:val="0"/>
        <w:adjustRightInd/>
        <w:snapToGrid/>
        <w:spacing w:line="360" w:lineRule="auto"/>
        <w:ind w:left="630" w:lef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p>
      <w:pPr>
        <w:pageBreakBefore w:val="0"/>
        <w:kinsoku/>
        <w:overflowPunct/>
        <w:topLinePunct w:val="0"/>
        <w:autoSpaceDE/>
        <w:autoSpaceDN/>
        <w:bidi w:val="0"/>
        <w:adjustRightInd w:val="0"/>
        <w:snapToGrid/>
        <w:spacing w:beforeLines="0" w:afterLines="0" w:line="360" w:lineRule="auto"/>
        <w:ind w:firstLine="482" w:firstLineChars="200"/>
        <w:textAlignment w:val="baseline"/>
        <w:outlineLvl w:val="1"/>
        <w:rPr>
          <w:rFonts w:hint="eastAsia" w:ascii="宋体" w:hAnsi="宋体" w:eastAsia="宋体" w:cs="宋体"/>
          <w:b/>
          <w:bCs/>
          <w:color w:val="auto"/>
          <w:sz w:val="24"/>
          <w:szCs w:val="24"/>
          <w:lang w:val="en-US" w:eastAsia="zh-CN"/>
        </w:rPr>
      </w:pPr>
      <w:bookmarkStart w:id="27" w:name="_Toc4871"/>
      <w:r>
        <w:rPr>
          <w:rFonts w:hint="eastAsia" w:ascii="宋体" w:hAnsi="宋体" w:eastAsia="宋体" w:cs="宋体"/>
          <w:b/>
          <w:bCs/>
          <w:color w:val="auto"/>
          <w:sz w:val="24"/>
          <w:szCs w:val="24"/>
          <w:lang w:val="en-US" w:eastAsia="zh-CN"/>
        </w:rPr>
        <w:fldChar w:fldCharType="begin"/>
      </w:r>
      <w:r>
        <w:rPr>
          <w:rFonts w:hint="eastAsia" w:ascii="宋体" w:hAnsi="宋体" w:eastAsia="宋体" w:cs="宋体"/>
          <w:b/>
          <w:bCs/>
          <w:color w:val="auto"/>
          <w:sz w:val="24"/>
          <w:szCs w:val="24"/>
          <w:lang w:val="en-US" w:eastAsia="zh-CN"/>
        </w:rPr>
        <w:instrText xml:space="preserve"> HYPERLINK \l _Toc6280 </w:instrText>
      </w:r>
      <w:r>
        <w:rPr>
          <w:rFonts w:hint="eastAsia" w:ascii="宋体" w:hAnsi="宋体" w:eastAsia="宋体" w:cs="宋体"/>
          <w:b/>
          <w:bCs/>
          <w:color w:val="auto"/>
          <w:sz w:val="24"/>
          <w:szCs w:val="24"/>
          <w:lang w:val="en-US" w:eastAsia="zh-CN"/>
        </w:rPr>
        <w:fldChar w:fldCharType="separate"/>
      </w:r>
      <w:r>
        <w:rPr>
          <w:rFonts w:hint="eastAsia" w:ascii="宋体" w:hAnsi="宋体" w:eastAsia="宋体" w:cs="宋体"/>
          <w:b/>
          <w:bCs/>
          <w:color w:val="auto"/>
          <w:sz w:val="24"/>
          <w:szCs w:val="24"/>
          <w:lang w:val="en-US" w:eastAsia="zh-CN"/>
        </w:rPr>
        <w:t>十二、投标人及产品的技术、能力、认证等相关证书</w:t>
      </w:r>
      <w:r>
        <w:rPr>
          <w:rFonts w:hint="eastAsia" w:ascii="宋体" w:hAnsi="宋体" w:eastAsia="宋体" w:cs="宋体"/>
          <w:b/>
          <w:bCs/>
          <w:color w:val="auto"/>
          <w:sz w:val="24"/>
          <w:szCs w:val="24"/>
          <w:lang w:val="en-US" w:eastAsia="zh-CN"/>
        </w:rPr>
        <w:fldChar w:fldCharType="end"/>
      </w:r>
      <w:bookmarkEnd w:id="27"/>
    </w:p>
    <w:p>
      <w:pPr>
        <w:keepLines w:val="0"/>
        <w:pageBreakBefore w:val="0"/>
        <w:numPr>
          <w:ilvl w:val="0"/>
          <w:numId w:val="0"/>
        </w:numPr>
        <w:kinsoku/>
        <w:overflowPunct/>
        <w:topLinePunct w:val="0"/>
        <w:autoSpaceDE/>
        <w:autoSpaceDN/>
        <w:bidi w:val="0"/>
        <w:adjustRightInd/>
        <w:snapToGrid/>
        <w:spacing w:line="360" w:lineRule="auto"/>
        <w:ind w:left="630" w:lef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bookmarkEnd w:id="24"/>
    <w:bookmarkEnd w:id="25"/>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Lines="0" w:line="360" w:lineRule="auto"/>
        <w:ind w:firstLine="482" w:firstLineChars="200"/>
        <w:jc w:val="left"/>
        <w:textAlignment w:val="auto"/>
        <w:outlineLvl w:val="1"/>
        <w:rPr>
          <w:rFonts w:hint="eastAsia" w:ascii="宋体" w:hAnsi="宋体" w:eastAsia="宋体" w:cs="宋体"/>
          <w:b/>
          <w:bCs/>
          <w:color w:val="auto"/>
          <w:sz w:val="24"/>
          <w:szCs w:val="24"/>
        </w:rPr>
      </w:pPr>
      <w:bookmarkStart w:id="28" w:name="_Toc457811498"/>
      <w:bookmarkStart w:id="29" w:name="_Toc21920"/>
      <w:bookmarkStart w:id="30" w:name="_Toc29356"/>
      <w:bookmarkStart w:id="31" w:name="_Toc8327"/>
      <w:r>
        <w:rPr>
          <w:rFonts w:hint="eastAsia" w:ascii="宋体" w:hAnsi="宋体" w:eastAsia="宋体" w:cs="宋体"/>
          <w:b/>
          <w:bCs/>
          <w:color w:val="auto"/>
          <w:sz w:val="24"/>
          <w:szCs w:val="24"/>
          <w:lang w:val="en-US" w:eastAsia="zh-CN"/>
        </w:rPr>
        <w:t>十三、</w:t>
      </w:r>
      <w:r>
        <w:rPr>
          <w:rFonts w:hint="eastAsia" w:ascii="宋体" w:hAnsi="宋体" w:eastAsia="宋体" w:cs="宋体"/>
          <w:b/>
          <w:bCs/>
          <w:color w:val="auto"/>
          <w:sz w:val="24"/>
          <w:szCs w:val="24"/>
        </w:rPr>
        <w:t>合同条款</w:t>
      </w:r>
      <w:bookmarkEnd w:id="28"/>
      <w:bookmarkEnd w:id="29"/>
      <w:bookmarkEnd w:id="30"/>
      <w:bookmarkEnd w:id="31"/>
    </w:p>
    <w:p>
      <w:pPr>
        <w:spacing w:line="360" w:lineRule="auto"/>
        <w:rPr>
          <w:kern w:val="0"/>
        </w:rPr>
      </w:pPr>
      <w:r>
        <w:rPr>
          <w:rFonts w:hint="eastAsia" w:ascii="宋体" w:hAnsi="宋体" w:eastAsia="宋体" w:cs="宋体"/>
          <w:sz w:val="24"/>
          <w:szCs w:val="24"/>
          <w:lang w:val="en-US" w:eastAsia="zh-CN"/>
        </w:rPr>
        <w:t>合同模板及保密协议</w:t>
      </w:r>
      <w:r>
        <w:rPr>
          <w:rFonts w:hint="eastAsia" w:ascii="宋体" w:hAnsi="宋体" w:eastAsia="宋体" w:cs="宋体"/>
          <w:kern w:val="2"/>
          <w:sz w:val="24"/>
          <w:szCs w:val="24"/>
          <w:lang w:val="en-US" w:eastAsia="zh-CN" w:bidi="ar-SA"/>
        </w:rPr>
        <w:t>均采用采购人制式文本。</w:t>
      </w:r>
    </w:p>
    <w:bookmarkEnd w:id="3"/>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F962B"/>
    <w:multiLevelType w:val="singleLevel"/>
    <w:tmpl w:val="84DF962B"/>
    <w:lvl w:ilvl="0" w:tentative="0">
      <w:start w:val="2"/>
      <w:numFmt w:val="chineseCounting"/>
      <w:suff w:val="nothing"/>
      <w:lvlText w:val="（%1）"/>
      <w:lvlJc w:val="left"/>
      <w:rPr>
        <w:rFonts w:hint="eastAsia"/>
      </w:rPr>
    </w:lvl>
  </w:abstractNum>
  <w:abstractNum w:abstractNumId="1">
    <w:nsid w:val="AE84738A"/>
    <w:multiLevelType w:val="singleLevel"/>
    <w:tmpl w:val="AE84738A"/>
    <w:lvl w:ilvl="0" w:tentative="0">
      <w:start w:val="1"/>
      <w:numFmt w:val="decimal"/>
      <w:suff w:val="nothing"/>
      <w:lvlText w:val="%1"/>
      <w:lvlJc w:val="left"/>
      <w:pPr>
        <w:tabs>
          <w:tab w:val="left" w:pos="0"/>
        </w:tabs>
        <w:ind w:left="454" w:hanging="454"/>
      </w:pPr>
      <w:rPr>
        <w:rFonts w:hint="default" w:ascii="宋体" w:hAnsi="宋体" w:eastAsia="宋体" w:cs="宋体"/>
      </w:rPr>
    </w:lvl>
  </w:abstractNum>
  <w:abstractNum w:abstractNumId="2">
    <w:nsid w:val="C484F922"/>
    <w:multiLevelType w:val="singleLevel"/>
    <w:tmpl w:val="C484F922"/>
    <w:lvl w:ilvl="0" w:tentative="0">
      <w:start w:val="2"/>
      <w:numFmt w:val="chineseCounting"/>
      <w:suff w:val="nothing"/>
      <w:lvlText w:val="（%1）"/>
      <w:lvlJc w:val="left"/>
      <w:rPr>
        <w:rFonts w:hint="eastAsia"/>
      </w:rPr>
    </w:lvl>
  </w:abstractNum>
  <w:abstractNum w:abstractNumId="3">
    <w:nsid w:val="FB123A50"/>
    <w:multiLevelType w:val="singleLevel"/>
    <w:tmpl w:val="FB123A50"/>
    <w:lvl w:ilvl="0" w:tentative="0">
      <w:start w:val="9"/>
      <w:numFmt w:val="chineseCounting"/>
      <w:suff w:val="nothing"/>
      <w:lvlText w:val="%1、"/>
      <w:lvlJc w:val="left"/>
      <w:rPr>
        <w:rFonts w:hint="eastAsia"/>
      </w:rPr>
    </w:lvl>
  </w:abstractNum>
  <w:abstractNum w:abstractNumId="4">
    <w:nsid w:val="4F3B93A5"/>
    <w:multiLevelType w:val="singleLevel"/>
    <w:tmpl w:val="4F3B93A5"/>
    <w:lvl w:ilvl="0" w:tentative="0">
      <w:start w:val="3"/>
      <w:numFmt w:val="chineseCounting"/>
      <w:suff w:val="nothing"/>
      <w:lvlText w:val="%1、"/>
      <w:lvlJc w:val="left"/>
      <w:rPr>
        <w:rFonts w:hint="eastAsia"/>
      </w:rPr>
    </w:lvl>
  </w:abstractNum>
  <w:abstractNum w:abstractNumId="5">
    <w:nsid w:val="58599E33"/>
    <w:multiLevelType w:val="singleLevel"/>
    <w:tmpl w:val="58599E33"/>
    <w:lvl w:ilvl="0" w:tentative="0">
      <w:start w:val="3"/>
      <w:numFmt w:val="decimal"/>
      <w:suff w:val="nothing"/>
      <w:lvlText w:val="（%1）"/>
      <w:lvlJc w:val="left"/>
    </w:lvl>
  </w:abstractNum>
  <w:abstractNum w:abstractNumId="6">
    <w:nsid w:val="73942994"/>
    <w:multiLevelType w:val="singleLevel"/>
    <w:tmpl w:val="73942994"/>
    <w:lvl w:ilvl="0" w:tentative="0">
      <w:start w:val="1"/>
      <w:numFmt w:val="bullet"/>
      <w:lvlText w:val=""/>
      <w:lvlJc w:val="left"/>
      <w:pPr>
        <w:ind w:left="1050" w:hanging="420"/>
      </w:pPr>
      <w:rPr>
        <w:rFonts w:hint="default" w:ascii="Wingdings" w:hAnsi="Wingdings"/>
      </w:rPr>
    </w:lvl>
  </w:abstractNum>
  <w:num w:numId="1">
    <w:abstractNumId w:val="2"/>
  </w:num>
  <w:num w:numId="2">
    <w:abstractNumId w:val="1"/>
  </w:num>
  <w:num w:numId="3">
    <w:abstractNumId w:val="4"/>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191C"/>
    <w:rsid w:val="0067278D"/>
    <w:rsid w:val="00B177B8"/>
    <w:rsid w:val="00C9788D"/>
    <w:rsid w:val="00CD0DF9"/>
    <w:rsid w:val="011B315E"/>
    <w:rsid w:val="01406849"/>
    <w:rsid w:val="0154438D"/>
    <w:rsid w:val="022B3F0B"/>
    <w:rsid w:val="0248527E"/>
    <w:rsid w:val="0254406F"/>
    <w:rsid w:val="02557017"/>
    <w:rsid w:val="02943179"/>
    <w:rsid w:val="02BC3B8D"/>
    <w:rsid w:val="030D1E56"/>
    <w:rsid w:val="03342A9D"/>
    <w:rsid w:val="03525CB2"/>
    <w:rsid w:val="036754B3"/>
    <w:rsid w:val="038C318F"/>
    <w:rsid w:val="039A4FFA"/>
    <w:rsid w:val="03BA2173"/>
    <w:rsid w:val="03C54EF4"/>
    <w:rsid w:val="03EB7E16"/>
    <w:rsid w:val="03F65C52"/>
    <w:rsid w:val="04404F8E"/>
    <w:rsid w:val="04763A89"/>
    <w:rsid w:val="048C765D"/>
    <w:rsid w:val="04946005"/>
    <w:rsid w:val="04DB718B"/>
    <w:rsid w:val="050F7BC8"/>
    <w:rsid w:val="05261A58"/>
    <w:rsid w:val="053219B1"/>
    <w:rsid w:val="053E2DB0"/>
    <w:rsid w:val="056251E7"/>
    <w:rsid w:val="05657D2B"/>
    <w:rsid w:val="057768A4"/>
    <w:rsid w:val="057C2BC5"/>
    <w:rsid w:val="05834D3A"/>
    <w:rsid w:val="05B64421"/>
    <w:rsid w:val="05C1356C"/>
    <w:rsid w:val="063B1ED7"/>
    <w:rsid w:val="06601C2A"/>
    <w:rsid w:val="06933C76"/>
    <w:rsid w:val="06BB0C77"/>
    <w:rsid w:val="06BE075F"/>
    <w:rsid w:val="072430CB"/>
    <w:rsid w:val="078C0394"/>
    <w:rsid w:val="07990C75"/>
    <w:rsid w:val="07B178CF"/>
    <w:rsid w:val="07F63A27"/>
    <w:rsid w:val="07FF2A6D"/>
    <w:rsid w:val="081A1379"/>
    <w:rsid w:val="082C6B9C"/>
    <w:rsid w:val="08345975"/>
    <w:rsid w:val="088E4D07"/>
    <w:rsid w:val="08B430F2"/>
    <w:rsid w:val="08C75449"/>
    <w:rsid w:val="09174915"/>
    <w:rsid w:val="096D2CF7"/>
    <w:rsid w:val="09982191"/>
    <w:rsid w:val="099F5D28"/>
    <w:rsid w:val="09A44F36"/>
    <w:rsid w:val="09BC72F4"/>
    <w:rsid w:val="0A2063F5"/>
    <w:rsid w:val="0A2448BC"/>
    <w:rsid w:val="0A526ADF"/>
    <w:rsid w:val="0A62323B"/>
    <w:rsid w:val="0ACC76B2"/>
    <w:rsid w:val="0AEE7A5B"/>
    <w:rsid w:val="0B2B56BC"/>
    <w:rsid w:val="0B3254EC"/>
    <w:rsid w:val="0B6164E5"/>
    <w:rsid w:val="0B6316E6"/>
    <w:rsid w:val="0B87274A"/>
    <w:rsid w:val="0B8F4D58"/>
    <w:rsid w:val="0BC85668"/>
    <w:rsid w:val="0BD55151"/>
    <w:rsid w:val="0C1B150C"/>
    <w:rsid w:val="0C1C1778"/>
    <w:rsid w:val="0C342F84"/>
    <w:rsid w:val="0C3461A4"/>
    <w:rsid w:val="0C353F11"/>
    <w:rsid w:val="0C3845EF"/>
    <w:rsid w:val="0C4F4B83"/>
    <w:rsid w:val="0C5F4677"/>
    <w:rsid w:val="0C606FEB"/>
    <w:rsid w:val="0C680DC5"/>
    <w:rsid w:val="0C8B3C2D"/>
    <w:rsid w:val="0CA60D32"/>
    <w:rsid w:val="0CCA7312"/>
    <w:rsid w:val="0CF158E0"/>
    <w:rsid w:val="0D1D0803"/>
    <w:rsid w:val="0D793ECD"/>
    <w:rsid w:val="0D7B4CCC"/>
    <w:rsid w:val="0D85744B"/>
    <w:rsid w:val="0DAC09C0"/>
    <w:rsid w:val="0DCE0F84"/>
    <w:rsid w:val="0DD06E78"/>
    <w:rsid w:val="0DEC19CE"/>
    <w:rsid w:val="0DF34DA2"/>
    <w:rsid w:val="0E011DB0"/>
    <w:rsid w:val="0E2611ED"/>
    <w:rsid w:val="0E295016"/>
    <w:rsid w:val="0E696174"/>
    <w:rsid w:val="0E6D5264"/>
    <w:rsid w:val="0E7449EF"/>
    <w:rsid w:val="0E7716C2"/>
    <w:rsid w:val="0EFC4642"/>
    <w:rsid w:val="0F28020A"/>
    <w:rsid w:val="0FCE2D73"/>
    <w:rsid w:val="0FE40CA6"/>
    <w:rsid w:val="10201BA6"/>
    <w:rsid w:val="1035354C"/>
    <w:rsid w:val="10376C37"/>
    <w:rsid w:val="104431AA"/>
    <w:rsid w:val="1056207C"/>
    <w:rsid w:val="108B6B87"/>
    <w:rsid w:val="10C6124F"/>
    <w:rsid w:val="10D21388"/>
    <w:rsid w:val="113A2A4C"/>
    <w:rsid w:val="114305E5"/>
    <w:rsid w:val="11530321"/>
    <w:rsid w:val="116A78C6"/>
    <w:rsid w:val="11704A6D"/>
    <w:rsid w:val="117224A3"/>
    <w:rsid w:val="118E6EF0"/>
    <w:rsid w:val="11AC495C"/>
    <w:rsid w:val="11B67C5C"/>
    <w:rsid w:val="11BF1E5B"/>
    <w:rsid w:val="11C437A9"/>
    <w:rsid w:val="11F649A6"/>
    <w:rsid w:val="11F779E6"/>
    <w:rsid w:val="11F83AAA"/>
    <w:rsid w:val="11FB2BBB"/>
    <w:rsid w:val="12077333"/>
    <w:rsid w:val="1225112C"/>
    <w:rsid w:val="124B5BA0"/>
    <w:rsid w:val="1265351C"/>
    <w:rsid w:val="129E5365"/>
    <w:rsid w:val="12C41B2B"/>
    <w:rsid w:val="12E61948"/>
    <w:rsid w:val="12ED7715"/>
    <w:rsid w:val="13254731"/>
    <w:rsid w:val="13A75476"/>
    <w:rsid w:val="13C74B08"/>
    <w:rsid w:val="141F1995"/>
    <w:rsid w:val="143E6692"/>
    <w:rsid w:val="14583D41"/>
    <w:rsid w:val="145D5CA0"/>
    <w:rsid w:val="14895C3D"/>
    <w:rsid w:val="1494760F"/>
    <w:rsid w:val="14B9217E"/>
    <w:rsid w:val="151E6BBF"/>
    <w:rsid w:val="1529545B"/>
    <w:rsid w:val="152C7C6A"/>
    <w:rsid w:val="15427AED"/>
    <w:rsid w:val="155465B8"/>
    <w:rsid w:val="15853613"/>
    <w:rsid w:val="15910A22"/>
    <w:rsid w:val="159B64F1"/>
    <w:rsid w:val="15A14859"/>
    <w:rsid w:val="15AB1406"/>
    <w:rsid w:val="15D13ED0"/>
    <w:rsid w:val="160E5AE8"/>
    <w:rsid w:val="166403E8"/>
    <w:rsid w:val="1683596C"/>
    <w:rsid w:val="16DB6843"/>
    <w:rsid w:val="16E1334C"/>
    <w:rsid w:val="16F02268"/>
    <w:rsid w:val="16F430FA"/>
    <w:rsid w:val="17053F6B"/>
    <w:rsid w:val="1727166A"/>
    <w:rsid w:val="17651E95"/>
    <w:rsid w:val="176E6D43"/>
    <w:rsid w:val="177343C6"/>
    <w:rsid w:val="178E0C87"/>
    <w:rsid w:val="17B96F61"/>
    <w:rsid w:val="17C450FA"/>
    <w:rsid w:val="17C84165"/>
    <w:rsid w:val="180D73CF"/>
    <w:rsid w:val="18171967"/>
    <w:rsid w:val="181B0F4D"/>
    <w:rsid w:val="18246812"/>
    <w:rsid w:val="185706AF"/>
    <w:rsid w:val="18CF2612"/>
    <w:rsid w:val="18FE4964"/>
    <w:rsid w:val="191302A9"/>
    <w:rsid w:val="19175CBD"/>
    <w:rsid w:val="193F2DEB"/>
    <w:rsid w:val="19471919"/>
    <w:rsid w:val="195E0A50"/>
    <w:rsid w:val="197541D1"/>
    <w:rsid w:val="19885D25"/>
    <w:rsid w:val="1A0E33D5"/>
    <w:rsid w:val="1A1F4584"/>
    <w:rsid w:val="1A2E44B8"/>
    <w:rsid w:val="1A481081"/>
    <w:rsid w:val="1A640091"/>
    <w:rsid w:val="1A7A48A7"/>
    <w:rsid w:val="1A874F53"/>
    <w:rsid w:val="1AD565FA"/>
    <w:rsid w:val="1AF23090"/>
    <w:rsid w:val="1B074B04"/>
    <w:rsid w:val="1B082EAE"/>
    <w:rsid w:val="1B1B642D"/>
    <w:rsid w:val="1B25421F"/>
    <w:rsid w:val="1B283AEA"/>
    <w:rsid w:val="1B3613AF"/>
    <w:rsid w:val="1B3C463F"/>
    <w:rsid w:val="1B5E0CC5"/>
    <w:rsid w:val="1B7F0138"/>
    <w:rsid w:val="1B8229CD"/>
    <w:rsid w:val="1B8A1A6F"/>
    <w:rsid w:val="1B9D38DE"/>
    <w:rsid w:val="1BE250F3"/>
    <w:rsid w:val="1BF815EB"/>
    <w:rsid w:val="1BFA73EB"/>
    <w:rsid w:val="1C051801"/>
    <w:rsid w:val="1C1C1559"/>
    <w:rsid w:val="1C2A4C7B"/>
    <w:rsid w:val="1C2C1605"/>
    <w:rsid w:val="1C32103C"/>
    <w:rsid w:val="1C7572A3"/>
    <w:rsid w:val="1C7D6891"/>
    <w:rsid w:val="1C8A5A4F"/>
    <w:rsid w:val="1C8E20DB"/>
    <w:rsid w:val="1CBF440F"/>
    <w:rsid w:val="1CCC078F"/>
    <w:rsid w:val="1CDE3CAB"/>
    <w:rsid w:val="1CE43ECF"/>
    <w:rsid w:val="1D63216D"/>
    <w:rsid w:val="1D680690"/>
    <w:rsid w:val="1D6C0D79"/>
    <w:rsid w:val="1D827155"/>
    <w:rsid w:val="1D96134E"/>
    <w:rsid w:val="1DA95E90"/>
    <w:rsid w:val="1DC80918"/>
    <w:rsid w:val="1DCB0E40"/>
    <w:rsid w:val="1DD26E31"/>
    <w:rsid w:val="1E133E93"/>
    <w:rsid w:val="1E217196"/>
    <w:rsid w:val="1E561825"/>
    <w:rsid w:val="1E5C08DE"/>
    <w:rsid w:val="1EC4020F"/>
    <w:rsid w:val="1F004A40"/>
    <w:rsid w:val="1F7B70E8"/>
    <w:rsid w:val="1F877474"/>
    <w:rsid w:val="1F8B7D34"/>
    <w:rsid w:val="1FD14E5C"/>
    <w:rsid w:val="1FDD626F"/>
    <w:rsid w:val="201E6675"/>
    <w:rsid w:val="20313FC0"/>
    <w:rsid w:val="20362BB6"/>
    <w:rsid w:val="203B575C"/>
    <w:rsid w:val="20523FE3"/>
    <w:rsid w:val="20943D54"/>
    <w:rsid w:val="209F11CE"/>
    <w:rsid w:val="20B06578"/>
    <w:rsid w:val="211A188A"/>
    <w:rsid w:val="213D14A0"/>
    <w:rsid w:val="21733C21"/>
    <w:rsid w:val="21820B33"/>
    <w:rsid w:val="21913D65"/>
    <w:rsid w:val="21972969"/>
    <w:rsid w:val="219B31A6"/>
    <w:rsid w:val="21A20DE2"/>
    <w:rsid w:val="22147F90"/>
    <w:rsid w:val="2249061E"/>
    <w:rsid w:val="22607515"/>
    <w:rsid w:val="226260F7"/>
    <w:rsid w:val="22991128"/>
    <w:rsid w:val="22A21D80"/>
    <w:rsid w:val="22DC05AD"/>
    <w:rsid w:val="22E049B4"/>
    <w:rsid w:val="22E30252"/>
    <w:rsid w:val="22EF6919"/>
    <w:rsid w:val="23187E8E"/>
    <w:rsid w:val="232660F1"/>
    <w:rsid w:val="23293E18"/>
    <w:rsid w:val="23336247"/>
    <w:rsid w:val="23804525"/>
    <w:rsid w:val="23B23C44"/>
    <w:rsid w:val="23DA36FA"/>
    <w:rsid w:val="23F33119"/>
    <w:rsid w:val="23F65297"/>
    <w:rsid w:val="2401244D"/>
    <w:rsid w:val="240A6F19"/>
    <w:rsid w:val="243161DF"/>
    <w:rsid w:val="245E0DEA"/>
    <w:rsid w:val="247F00D5"/>
    <w:rsid w:val="24824147"/>
    <w:rsid w:val="24D9756B"/>
    <w:rsid w:val="24F521E9"/>
    <w:rsid w:val="25302140"/>
    <w:rsid w:val="255945AF"/>
    <w:rsid w:val="257B6058"/>
    <w:rsid w:val="25880391"/>
    <w:rsid w:val="25C60FBC"/>
    <w:rsid w:val="25DE1F4B"/>
    <w:rsid w:val="25E35F70"/>
    <w:rsid w:val="26183126"/>
    <w:rsid w:val="261E080F"/>
    <w:rsid w:val="263D5C17"/>
    <w:rsid w:val="264D3877"/>
    <w:rsid w:val="26545F6B"/>
    <w:rsid w:val="266808D6"/>
    <w:rsid w:val="26772387"/>
    <w:rsid w:val="267B401A"/>
    <w:rsid w:val="268D1519"/>
    <w:rsid w:val="268E5BB1"/>
    <w:rsid w:val="26A26AFC"/>
    <w:rsid w:val="26A6071B"/>
    <w:rsid w:val="26AD2111"/>
    <w:rsid w:val="26B21821"/>
    <w:rsid w:val="26B407CE"/>
    <w:rsid w:val="26C336A8"/>
    <w:rsid w:val="26C5687F"/>
    <w:rsid w:val="26D645A9"/>
    <w:rsid w:val="26D75BEB"/>
    <w:rsid w:val="26E33D56"/>
    <w:rsid w:val="26EC038D"/>
    <w:rsid w:val="27000A2D"/>
    <w:rsid w:val="27131CCB"/>
    <w:rsid w:val="27512B2C"/>
    <w:rsid w:val="27514265"/>
    <w:rsid w:val="278D2914"/>
    <w:rsid w:val="278E43F5"/>
    <w:rsid w:val="27C601A1"/>
    <w:rsid w:val="27C63FF9"/>
    <w:rsid w:val="27E7535E"/>
    <w:rsid w:val="280956CD"/>
    <w:rsid w:val="283D67A9"/>
    <w:rsid w:val="285F4BC1"/>
    <w:rsid w:val="28D776D1"/>
    <w:rsid w:val="28D80FDC"/>
    <w:rsid w:val="28DA6DA5"/>
    <w:rsid w:val="29226886"/>
    <w:rsid w:val="292D62AE"/>
    <w:rsid w:val="29782AF1"/>
    <w:rsid w:val="298A5440"/>
    <w:rsid w:val="29AD3447"/>
    <w:rsid w:val="29AD5EE6"/>
    <w:rsid w:val="2A0A4EAF"/>
    <w:rsid w:val="2A3F3FFA"/>
    <w:rsid w:val="2A607A6A"/>
    <w:rsid w:val="2A6236EC"/>
    <w:rsid w:val="2A660D44"/>
    <w:rsid w:val="2B12039F"/>
    <w:rsid w:val="2B1C270F"/>
    <w:rsid w:val="2B4A6B85"/>
    <w:rsid w:val="2B5F3DD9"/>
    <w:rsid w:val="2B7B2074"/>
    <w:rsid w:val="2B8A53A7"/>
    <w:rsid w:val="2B9A3E1C"/>
    <w:rsid w:val="2BB46E8B"/>
    <w:rsid w:val="2C091721"/>
    <w:rsid w:val="2C1C2054"/>
    <w:rsid w:val="2C281BC9"/>
    <w:rsid w:val="2C450DC1"/>
    <w:rsid w:val="2C4D6CC9"/>
    <w:rsid w:val="2CAF4126"/>
    <w:rsid w:val="2CB91CD5"/>
    <w:rsid w:val="2CDE7FF1"/>
    <w:rsid w:val="2D03187E"/>
    <w:rsid w:val="2D165996"/>
    <w:rsid w:val="2D475B28"/>
    <w:rsid w:val="2D4E3B89"/>
    <w:rsid w:val="2D5C5036"/>
    <w:rsid w:val="2D917813"/>
    <w:rsid w:val="2D9F7864"/>
    <w:rsid w:val="2DBA21F1"/>
    <w:rsid w:val="2E355FE3"/>
    <w:rsid w:val="2E506FBD"/>
    <w:rsid w:val="2E55066C"/>
    <w:rsid w:val="2E55644F"/>
    <w:rsid w:val="2E762D6D"/>
    <w:rsid w:val="2E880AD5"/>
    <w:rsid w:val="2E961FBD"/>
    <w:rsid w:val="2EBB2D52"/>
    <w:rsid w:val="2EBF3434"/>
    <w:rsid w:val="2ED40338"/>
    <w:rsid w:val="2EE270A5"/>
    <w:rsid w:val="2EEE20AB"/>
    <w:rsid w:val="2F12041C"/>
    <w:rsid w:val="2F6421B8"/>
    <w:rsid w:val="2F7D4FEB"/>
    <w:rsid w:val="2FA73F36"/>
    <w:rsid w:val="2FF774A7"/>
    <w:rsid w:val="302C7253"/>
    <w:rsid w:val="3039018A"/>
    <w:rsid w:val="307D3888"/>
    <w:rsid w:val="30B81E48"/>
    <w:rsid w:val="30C01F69"/>
    <w:rsid w:val="30C847D3"/>
    <w:rsid w:val="30C84961"/>
    <w:rsid w:val="30D20E44"/>
    <w:rsid w:val="30DC066C"/>
    <w:rsid w:val="312527C2"/>
    <w:rsid w:val="314154FE"/>
    <w:rsid w:val="314168B8"/>
    <w:rsid w:val="3145639A"/>
    <w:rsid w:val="314F4864"/>
    <w:rsid w:val="31855AAA"/>
    <w:rsid w:val="31B36B79"/>
    <w:rsid w:val="31CC1BCB"/>
    <w:rsid w:val="31E91B91"/>
    <w:rsid w:val="3206300A"/>
    <w:rsid w:val="320A4935"/>
    <w:rsid w:val="320A67D8"/>
    <w:rsid w:val="321450CA"/>
    <w:rsid w:val="322778D8"/>
    <w:rsid w:val="323C7618"/>
    <w:rsid w:val="32955FB1"/>
    <w:rsid w:val="32C94DBF"/>
    <w:rsid w:val="32CB727F"/>
    <w:rsid w:val="32DB2B1E"/>
    <w:rsid w:val="32E8120A"/>
    <w:rsid w:val="32F85CEE"/>
    <w:rsid w:val="330A70F9"/>
    <w:rsid w:val="33227AD3"/>
    <w:rsid w:val="33340AAE"/>
    <w:rsid w:val="3341186A"/>
    <w:rsid w:val="3345490B"/>
    <w:rsid w:val="335B0363"/>
    <w:rsid w:val="33B26301"/>
    <w:rsid w:val="33CC7E31"/>
    <w:rsid w:val="33D4179B"/>
    <w:rsid w:val="33D84C3F"/>
    <w:rsid w:val="34107628"/>
    <w:rsid w:val="342862DA"/>
    <w:rsid w:val="34673587"/>
    <w:rsid w:val="348E2386"/>
    <w:rsid w:val="34AA1F47"/>
    <w:rsid w:val="34B53BB0"/>
    <w:rsid w:val="34D7783A"/>
    <w:rsid w:val="352D4F80"/>
    <w:rsid w:val="35551D2A"/>
    <w:rsid w:val="35625F64"/>
    <w:rsid w:val="3572291D"/>
    <w:rsid w:val="3592085D"/>
    <w:rsid w:val="35B4027E"/>
    <w:rsid w:val="35BE74A2"/>
    <w:rsid w:val="35D00C27"/>
    <w:rsid w:val="35F8268F"/>
    <w:rsid w:val="363567A8"/>
    <w:rsid w:val="363D1065"/>
    <w:rsid w:val="365330A0"/>
    <w:rsid w:val="365C2A8F"/>
    <w:rsid w:val="366513D5"/>
    <w:rsid w:val="36673355"/>
    <w:rsid w:val="36702023"/>
    <w:rsid w:val="368332D6"/>
    <w:rsid w:val="37263DFE"/>
    <w:rsid w:val="373833B0"/>
    <w:rsid w:val="376C1E02"/>
    <w:rsid w:val="377372B4"/>
    <w:rsid w:val="37777364"/>
    <w:rsid w:val="37941AFF"/>
    <w:rsid w:val="3798428E"/>
    <w:rsid w:val="37BA53DB"/>
    <w:rsid w:val="380C6E84"/>
    <w:rsid w:val="382F559E"/>
    <w:rsid w:val="383027D1"/>
    <w:rsid w:val="38490181"/>
    <w:rsid w:val="388308DE"/>
    <w:rsid w:val="388601C4"/>
    <w:rsid w:val="38B93817"/>
    <w:rsid w:val="38CC7E20"/>
    <w:rsid w:val="38E844AF"/>
    <w:rsid w:val="38EE7BBD"/>
    <w:rsid w:val="39762665"/>
    <w:rsid w:val="399C2679"/>
    <w:rsid w:val="39A01647"/>
    <w:rsid w:val="39AD747A"/>
    <w:rsid w:val="39B66993"/>
    <w:rsid w:val="39DA6DB5"/>
    <w:rsid w:val="3A0C3E5A"/>
    <w:rsid w:val="3A186389"/>
    <w:rsid w:val="3A334A2E"/>
    <w:rsid w:val="3A3B6DB0"/>
    <w:rsid w:val="3A4F6750"/>
    <w:rsid w:val="3A581C3C"/>
    <w:rsid w:val="3A5B3525"/>
    <w:rsid w:val="3A632969"/>
    <w:rsid w:val="3A6D5F72"/>
    <w:rsid w:val="3A8C6FE0"/>
    <w:rsid w:val="3B0B6799"/>
    <w:rsid w:val="3B1A33F4"/>
    <w:rsid w:val="3B2E4F91"/>
    <w:rsid w:val="3B3962EE"/>
    <w:rsid w:val="3B554356"/>
    <w:rsid w:val="3B984A2E"/>
    <w:rsid w:val="3BB51E45"/>
    <w:rsid w:val="3BBF5F7D"/>
    <w:rsid w:val="3C152957"/>
    <w:rsid w:val="3C222138"/>
    <w:rsid w:val="3C4C1BA1"/>
    <w:rsid w:val="3C5A147B"/>
    <w:rsid w:val="3C8D4E1A"/>
    <w:rsid w:val="3C9B2503"/>
    <w:rsid w:val="3CA77EC0"/>
    <w:rsid w:val="3CEC10E6"/>
    <w:rsid w:val="3CED4350"/>
    <w:rsid w:val="3D474269"/>
    <w:rsid w:val="3D5238F4"/>
    <w:rsid w:val="3D9A14A6"/>
    <w:rsid w:val="3D9B34A9"/>
    <w:rsid w:val="3DA63256"/>
    <w:rsid w:val="3DAA57E0"/>
    <w:rsid w:val="3DBD2D39"/>
    <w:rsid w:val="3DD31324"/>
    <w:rsid w:val="3DE24983"/>
    <w:rsid w:val="3DF24640"/>
    <w:rsid w:val="3DF574D6"/>
    <w:rsid w:val="3E3E24A6"/>
    <w:rsid w:val="3E41141E"/>
    <w:rsid w:val="3E474694"/>
    <w:rsid w:val="3EBB20B7"/>
    <w:rsid w:val="3EDB4E82"/>
    <w:rsid w:val="3EDE7639"/>
    <w:rsid w:val="3EE9322E"/>
    <w:rsid w:val="3F147F65"/>
    <w:rsid w:val="3F1A2C5F"/>
    <w:rsid w:val="3F261502"/>
    <w:rsid w:val="3F3455D5"/>
    <w:rsid w:val="3F832EC8"/>
    <w:rsid w:val="3F8557E1"/>
    <w:rsid w:val="3FAE5191"/>
    <w:rsid w:val="3FE0087B"/>
    <w:rsid w:val="3FEA3DBB"/>
    <w:rsid w:val="3FEB2B6E"/>
    <w:rsid w:val="400F509B"/>
    <w:rsid w:val="403B4077"/>
    <w:rsid w:val="403F7AE1"/>
    <w:rsid w:val="40685E31"/>
    <w:rsid w:val="407179AC"/>
    <w:rsid w:val="407A003D"/>
    <w:rsid w:val="410A6FF7"/>
    <w:rsid w:val="410A771D"/>
    <w:rsid w:val="412D29A6"/>
    <w:rsid w:val="41545C84"/>
    <w:rsid w:val="41A4031C"/>
    <w:rsid w:val="420C1D4F"/>
    <w:rsid w:val="423E32B3"/>
    <w:rsid w:val="424A4331"/>
    <w:rsid w:val="4274727B"/>
    <w:rsid w:val="4278342A"/>
    <w:rsid w:val="429240B1"/>
    <w:rsid w:val="42941B77"/>
    <w:rsid w:val="429F7110"/>
    <w:rsid w:val="42BD593D"/>
    <w:rsid w:val="42C151D6"/>
    <w:rsid w:val="42C514C1"/>
    <w:rsid w:val="42C725EF"/>
    <w:rsid w:val="43381A40"/>
    <w:rsid w:val="434D1E81"/>
    <w:rsid w:val="43510263"/>
    <w:rsid w:val="436F187F"/>
    <w:rsid w:val="439B0DB1"/>
    <w:rsid w:val="43AF17B3"/>
    <w:rsid w:val="43BB5A55"/>
    <w:rsid w:val="43D3623F"/>
    <w:rsid w:val="43E360A1"/>
    <w:rsid w:val="43E946FD"/>
    <w:rsid w:val="43F82BEC"/>
    <w:rsid w:val="441150EF"/>
    <w:rsid w:val="444361F0"/>
    <w:rsid w:val="446B6838"/>
    <w:rsid w:val="44A03A1A"/>
    <w:rsid w:val="44A52C92"/>
    <w:rsid w:val="44A60A3E"/>
    <w:rsid w:val="44AF6918"/>
    <w:rsid w:val="44CF36C6"/>
    <w:rsid w:val="45302C09"/>
    <w:rsid w:val="45562577"/>
    <w:rsid w:val="45A1451A"/>
    <w:rsid w:val="45AC230B"/>
    <w:rsid w:val="45BE63F4"/>
    <w:rsid w:val="45C35689"/>
    <w:rsid w:val="45D12058"/>
    <w:rsid w:val="45E50C30"/>
    <w:rsid w:val="4610794A"/>
    <w:rsid w:val="462837EB"/>
    <w:rsid w:val="464243F1"/>
    <w:rsid w:val="46507E8E"/>
    <w:rsid w:val="46596E62"/>
    <w:rsid w:val="46721B28"/>
    <w:rsid w:val="467F4E62"/>
    <w:rsid w:val="46840376"/>
    <w:rsid w:val="46E2416C"/>
    <w:rsid w:val="46E6393D"/>
    <w:rsid w:val="47264F09"/>
    <w:rsid w:val="474C075E"/>
    <w:rsid w:val="47793152"/>
    <w:rsid w:val="47996186"/>
    <w:rsid w:val="47A33B19"/>
    <w:rsid w:val="47C8333D"/>
    <w:rsid w:val="47EF2450"/>
    <w:rsid w:val="480048B6"/>
    <w:rsid w:val="48372C87"/>
    <w:rsid w:val="484308F1"/>
    <w:rsid w:val="4888328C"/>
    <w:rsid w:val="48885C8E"/>
    <w:rsid w:val="48AB728E"/>
    <w:rsid w:val="48B07EBB"/>
    <w:rsid w:val="48D9763D"/>
    <w:rsid w:val="48E80D64"/>
    <w:rsid w:val="49B454E4"/>
    <w:rsid w:val="49C26A6A"/>
    <w:rsid w:val="49CE1C19"/>
    <w:rsid w:val="49F2115A"/>
    <w:rsid w:val="4A17692A"/>
    <w:rsid w:val="4A2D624F"/>
    <w:rsid w:val="4A48349F"/>
    <w:rsid w:val="4A4C0615"/>
    <w:rsid w:val="4A5F14C2"/>
    <w:rsid w:val="4A8977B2"/>
    <w:rsid w:val="4AA43133"/>
    <w:rsid w:val="4ADA2ECA"/>
    <w:rsid w:val="4ADC6043"/>
    <w:rsid w:val="4AE76108"/>
    <w:rsid w:val="4AEF65E6"/>
    <w:rsid w:val="4B123AF2"/>
    <w:rsid w:val="4B1853E8"/>
    <w:rsid w:val="4B2F7D7F"/>
    <w:rsid w:val="4B414BB7"/>
    <w:rsid w:val="4B5647CF"/>
    <w:rsid w:val="4B586699"/>
    <w:rsid w:val="4B714D9F"/>
    <w:rsid w:val="4BA80166"/>
    <w:rsid w:val="4BC004CA"/>
    <w:rsid w:val="4BC35224"/>
    <w:rsid w:val="4BC71E8D"/>
    <w:rsid w:val="4BD87D5F"/>
    <w:rsid w:val="4BEA4404"/>
    <w:rsid w:val="4C086543"/>
    <w:rsid w:val="4C131799"/>
    <w:rsid w:val="4C221326"/>
    <w:rsid w:val="4C6C086F"/>
    <w:rsid w:val="4C734331"/>
    <w:rsid w:val="4C98078B"/>
    <w:rsid w:val="4C9F1DE3"/>
    <w:rsid w:val="4CD3177F"/>
    <w:rsid w:val="4D021433"/>
    <w:rsid w:val="4D1E4BCE"/>
    <w:rsid w:val="4D276D7B"/>
    <w:rsid w:val="4D364EE2"/>
    <w:rsid w:val="4D6A04FE"/>
    <w:rsid w:val="4D7462E4"/>
    <w:rsid w:val="4DC95924"/>
    <w:rsid w:val="4DCD019E"/>
    <w:rsid w:val="4DD60EAA"/>
    <w:rsid w:val="4DE54660"/>
    <w:rsid w:val="4DFE7A93"/>
    <w:rsid w:val="4E1120E9"/>
    <w:rsid w:val="4E7F64C5"/>
    <w:rsid w:val="4E8469F6"/>
    <w:rsid w:val="4EB00700"/>
    <w:rsid w:val="4EB43CA9"/>
    <w:rsid w:val="4F047C62"/>
    <w:rsid w:val="4F642E33"/>
    <w:rsid w:val="4F831A0F"/>
    <w:rsid w:val="4F8320D9"/>
    <w:rsid w:val="4F903816"/>
    <w:rsid w:val="4FC11BF4"/>
    <w:rsid w:val="4FC44EF7"/>
    <w:rsid w:val="4FCC42FC"/>
    <w:rsid w:val="4FEA071F"/>
    <w:rsid w:val="50132101"/>
    <w:rsid w:val="50241084"/>
    <w:rsid w:val="50277725"/>
    <w:rsid w:val="5032315C"/>
    <w:rsid w:val="504F1A05"/>
    <w:rsid w:val="505876F5"/>
    <w:rsid w:val="507A1162"/>
    <w:rsid w:val="50B77632"/>
    <w:rsid w:val="50BE4310"/>
    <w:rsid w:val="50FD4F56"/>
    <w:rsid w:val="510D4F16"/>
    <w:rsid w:val="512B0379"/>
    <w:rsid w:val="5144144D"/>
    <w:rsid w:val="519A4452"/>
    <w:rsid w:val="519D0CB4"/>
    <w:rsid w:val="51A045D4"/>
    <w:rsid w:val="51A769D9"/>
    <w:rsid w:val="51C263F1"/>
    <w:rsid w:val="52030359"/>
    <w:rsid w:val="5208286A"/>
    <w:rsid w:val="5221042E"/>
    <w:rsid w:val="522D7756"/>
    <w:rsid w:val="524A2799"/>
    <w:rsid w:val="52660F1F"/>
    <w:rsid w:val="52677D01"/>
    <w:rsid w:val="52866C45"/>
    <w:rsid w:val="52901EDA"/>
    <w:rsid w:val="52A50148"/>
    <w:rsid w:val="52C42B94"/>
    <w:rsid w:val="52FB0E27"/>
    <w:rsid w:val="53261388"/>
    <w:rsid w:val="53262C4C"/>
    <w:rsid w:val="5347635A"/>
    <w:rsid w:val="5367261F"/>
    <w:rsid w:val="53716D85"/>
    <w:rsid w:val="53C40138"/>
    <w:rsid w:val="53E53DD3"/>
    <w:rsid w:val="53F729EE"/>
    <w:rsid w:val="542B3C74"/>
    <w:rsid w:val="544F6970"/>
    <w:rsid w:val="54EE168F"/>
    <w:rsid w:val="550B11B6"/>
    <w:rsid w:val="55290BA7"/>
    <w:rsid w:val="55C14582"/>
    <w:rsid w:val="55C23CC1"/>
    <w:rsid w:val="55CE6E62"/>
    <w:rsid w:val="55D61107"/>
    <w:rsid w:val="55E662FE"/>
    <w:rsid w:val="562F0E5D"/>
    <w:rsid w:val="563E5A62"/>
    <w:rsid w:val="56402CA1"/>
    <w:rsid w:val="56682BBE"/>
    <w:rsid w:val="56B5222C"/>
    <w:rsid w:val="56E97284"/>
    <w:rsid w:val="56FE3AEA"/>
    <w:rsid w:val="571202CE"/>
    <w:rsid w:val="57191A28"/>
    <w:rsid w:val="57240607"/>
    <w:rsid w:val="576D64F8"/>
    <w:rsid w:val="578C72A1"/>
    <w:rsid w:val="57B264DD"/>
    <w:rsid w:val="57C2493B"/>
    <w:rsid w:val="57CB5328"/>
    <w:rsid w:val="57CC7E17"/>
    <w:rsid w:val="58014045"/>
    <w:rsid w:val="58046775"/>
    <w:rsid w:val="58160087"/>
    <w:rsid w:val="58536853"/>
    <w:rsid w:val="587B0451"/>
    <w:rsid w:val="589D78D8"/>
    <w:rsid w:val="58A11611"/>
    <w:rsid w:val="58B153EA"/>
    <w:rsid w:val="58C81DD2"/>
    <w:rsid w:val="58CF6E02"/>
    <w:rsid w:val="58D53F2A"/>
    <w:rsid w:val="58D834CC"/>
    <w:rsid w:val="58E96C89"/>
    <w:rsid w:val="58F63C5C"/>
    <w:rsid w:val="59167C3A"/>
    <w:rsid w:val="59757D12"/>
    <w:rsid w:val="59A01EB7"/>
    <w:rsid w:val="59C04FEB"/>
    <w:rsid w:val="59D94B9A"/>
    <w:rsid w:val="59EB7ACC"/>
    <w:rsid w:val="59EE6233"/>
    <w:rsid w:val="5A0333F4"/>
    <w:rsid w:val="5A0379E1"/>
    <w:rsid w:val="5A162127"/>
    <w:rsid w:val="5A9D0CAD"/>
    <w:rsid w:val="5AE03EC5"/>
    <w:rsid w:val="5B0B5667"/>
    <w:rsid w:val="5B4F65C4"/>
    <w:rsid w:val="5B5B36CA"/>
    <w:rsid w:val="5B703337"/>
    <w:rsid w:val="5B887324"/>
    <w:rsid w:val="5BB50750"/>
    <w:rsid w:val="5BBD6CF5"/>
    <w:rsid w:val="5C0A74E9"/>
    <w:rsid w:val="5C1A5F7F"/>
    <w:rsid w:val="5C570CEF"/>
    <w:rsid w:val="5C7B5406"/>
    <w:rsid w:val="5C8D7231"/>
    <w:rsid w:val="5C97049D"/>
    <w:rsid w:val="5C9D260A"/>
    <w:rsid w:val="5CA21C1D"/>
    <w:rsid w:val="5CA53C87"/>
    <w:rsid w:val="5CB3320B"/>
    <w:rsid w:val="5D0739B7"/>
    <w:rsid w:val="5D21462D"/>
    <w:rsid w:val="5D7456B5"/>
    <w:rsid w:val="5D7943BA"/>
    <w:rsid w:val="5D7E64CD"/>
    <w:rsid w:val="5D97095B"/>
    <w:rsid w:val="5DA97D33"/>
    <w:rsid w:val="5DEA260C"/>
    <w:rsid w:val="5E02480A"/>
    <w:rsid w:val="5E1612A9"/>
    <w:rsid w:val="5E165076"/>
    <w:rsid w:val="5E2467F8"/>
    <w:rsid w:val="5E743B70"/>
    <w:rsid w:val="5EA23C13"/>
    <w:rsid w:val="5EB02BD2"/>
    <w:rsid w:val="5EF90E44"/>
    <w:rsid w:val="5F061F68"/>
    <w:rsid w:val="5F34170B"/>
    <w:rsid w:val="5F4957D0"/>
    <w:rsid w:val="5F527ED4"/>
    <w:rsid w:val="5F904048"/>
    <w:rsid w:val="5F910072"/>
    <w:rsid w:val="5FC270B9"/>
    <w:rsid w:val="5FE12E0C"/>
    <w:rsid w:val="600942B3"/>
    <w:rsid w:val="602231B3"/>
    <w:rsid w:val="60393D3C"/>
    <w:rsid w:val="604869DE"/>
    <w:rsid w:val="608F3B3A"/>
    <w:rsid w:val="60A52104"/>
    <w:rsid w:val="60A62DB5"/>
    <w:rsid w:val="60A74540"/>
    <w:rsid w:val="60AE3DDC"/>
    <w:rsid w:val="60DE27BA"/>
    <w:rsid w:val="611210FD"/>
    <w:rsid w:val="61370674"/>
    <w:rsid w:val="616870B9"/>
    <w:rsid w:val="618935FD"/>
    <w:rsid w:val="618F45CC"/>
    <w:rsid w:val="6199126F"/>
    <w:rsid w:val="61A16DE5"/>
    <w:rsid w:val="61CF0D77"/>
    <w:rsid w:val="61F6325B"/>
    <w:rsid w:val="61F8107E"/>
    <w:rsid w:val="620949CD"/>
    <w:rsid w:val="621271A4"/>
    <w:rsid w:val="62302E55"/>
    <w:rsid w:val="623753C2"/>
    <w:rsid w:val="626D4A1A"/>
    <w:rsid w:val="628A1CF2"/>
    <w:rsid w:val="62B00933"/>
    <w:rsid w:val="62D859BC"/>
    <w:rsid w:val="62FB4937"/>
    <w:rsid w:val="62FD071E"/>
    <w:rsid w:val="63002E24"/>
    <w:rsid w:val="635534A0"/>
    <w:rsid w:val="637D6ABB"/>
    <w:rsid w:val="63AC28D0"/>
    <w:rsid w:val="63B06E30"/>
    <w:rsid w:val="63B517F4"/>
    <w:rsid w:val="63FC4266"/>
    <w:rsid w:val="6409248D"/>
    <w:rsid w:val="644003BE"/>
    <w:rsid w:val="645C250A"/>
    <w:rsid w:val="64606DCD"/>
    <w:rsid w:val="646C4ABE"/>
    <w:rsid w:val="646D3D35"/>
    <w:rsid w:val="647318F8"/>
    <w:rsid w:val="64756B21"/>
    <w:rsid w:val="647F6E6C"/>
    <w:rsid w:val="64857C2C"/>
    <w:rsid w:val="648C2324"/>
    <w:rsid w:val="64B84AEC"/>
    <w:rsid w:val="64D16F64"/>
    <w:rsid w:val="64EC6F7C"/>
    <w:rsid w:val="64F2403B"/>
    <w:rsid w:val="64F24D1F"/>
    <w:rsid w:val="64FC02AA"/>
    <w:rsid w:val="65231279"/>
    <w:rsid w:val="65451625"/>
    <w:rsid w:val="656E5EAC"/>
    <w:rsid w:val="656F3D75"/>
    <w:rsid w:val="65D46D17"/>
    <w:rsid w:val="66027926"/>
    <w:rsid w:val="662A5C2E"/>
    <w:rsid w:val="662C2783"/>
    <w:rsid w:val="666013CA"/>
    <w:rsid w:val="6670497B"/>
    <w:rsid w:val="668B0587"/>
    <w:rsid w:val="669F62CE"/>
    <w:rsid w:val="66A2075C"/>
    <w:rsid w:val="66AA5F60"/>
    <w:rsid w:val="66B64AA9"/>
    <w:rsid w:val="66C1764A"/>
    <w:rsid w:val="66D44E31"/>
    <w:rsid w:val="672A187B"/>
    <w:rsid w:val="674143F3"/>
    <w:rsid w:val="67555F81"/>
    <w:rsid w:val="677118A4"/>
    <w:rsid w:val="6773479F"/>
    <w:rsid w:val="678375D1"/>
    <w:rsid w:val="678D2717"/>
    <w:rsid w:val="67A20A49"/>
    <w:rsid w:val="67DA5B81"/>
    <w:rsid w:val="67E532F1"/>
    <w:rsid w:val="67F11A8F"/>
    <w:rsid w:val="680F2E3A"/>
    <w:rsid w:val="686B1DAC"/>
    <w:rsid w:val="68795A30"/>
    <w:rsid w:val="687A2FB2"/>
    <w:rsid w:val="68B32E14"/>
    <w:rsid w:val="68D135AE"/>
    <w:rsid w:val="68F05962"/>
    <w:rsid w:val="69373591"/>
    <w:rsid w:val="69622F46"/>
    <w:rsid w:val="698E389E"/>
    <w:rsid w:val="69AB7F9E"/>
    <w:rsid w:val="69AC1FA6"/>
    <w:rsid w:val="69BF51F2"/>
    <w:rsid w:val="69C52F3C"/>
    <w:rsid w:val="69E57659"/>
    <w:rsid w:val="6A217ABC"/>
    <w:rsid w:val="6A26009C"/>
    <w:rsid w:val="6A2E586E"/>
    <w:rsid w:val="6A3128CC"/>
    <w:rsid w:val="6A8858B8"/>
    <w:rsid w:val="6AA41701"/>
    <w:rsid w:val="6ABD64B3"/>
    <w:rsid w:val="6AE36244"/>
    <w:rsid w:val="6AF456E9"/>
    <w:rsid w:val="6B052CDB"/>
    <w:rsid w:val="6B231BFB"/>
    <w:rsid w:val="6B575897"/>
    <w:rsid w:val="6B755743"/>
    <w:rsid w:val="6B7C2583"/>
    <w:rsid w:val="6BC87ABB"/>
    <w:rsid w:val="6BDB0BE7"/>
    <w:rsid w:val="6BE66EEB"/>
    <w:rsid w:val="6C2F6236"/>
    <w:rsid w:val="6C313EDE"/>
    <w:rsid w:val="6C47188D"/>
    <w:rsid w:val="6C6802E2"/>
    <w:rsid w:val="6CE00CC7"/>
    <w:rsid w:val="6D6040E0"/>
    <w:rsid w:val="6D8139F9"/>
    <w:rsid w:val="6DA6732A"/>
    <w:rsid w:val="6DA80A41"/>
    <w:rsid w:val="6DAA2614"/>
    <w:rsid w:val="6DE54519"/>
    <w:rsid w:val="6DEF33A1"/>
    <w:rsid w:val="6E154CC6"/>
    <w:rsid w:val="6E1D037C"/>
    <w:rsid w:val="6E2751A2"/>
    <w:rsid w:val="6E7A5A23"/>
    <w:rsid w:val="6EAD2E23"/>
    <w:rsid w:val="6EC82197"/>
    <w:rsid w:val="6EFC7E37"/>
    <w:rsid w:val="6F1252D3"/>
    <w:rsid w:val="6F1400C2"/>
    <w:rsid w:val="6F8933ED"/>
    <w:rsid w:val="6F9A64B6"/>
    <w:rsid w:val="6FD45768"/>
    <w:rsid w:val="6FEF1511"/>
    <w:rsid w:val="6FF454D5"/>
    <w:rsid w:val="700E23C1"/>
    <w:rsid w:val="701E56CD"/>
    <w:rsid w:val="703D0055"/>
    <w:rsid w:val="704C11C8"/>
    <w:rsid w:val="70591B84"/>
    <w:rsid w:val="70A64031"/>
    <w:rsid w:val="70E531C7"/>
    <w:rsid w:val="71021D06"/>
    <w:rsid w:val="712E298D"/>
    <w:rsid w:val="7134459E"/>
    <w:rsid w:val="714B4182"/>
    <w:rsid w:val="716F0012"/>
    <w:rsid w:val="7188171B"/>
    <w:rsid w:val="718E65C0"/>
    <w:rsid w:val="71922B95"/>
    <w:rsid w:val="71D57458"/>
    <w:rsid w:val="71F10071"/>
    <w:rsid w:val="71F36A9E"/>
    <w:rsid w:val="71FD4FD6"/>
    <w:rsid w:val="72813552"/>
    <w:rsid w:val="72C81F1C"/>
    <w:rsid w:val="72CA4677"/>
    <w:rsid w:val="72EE4A60"/>
    <w:rsid w:val="72F96E40"/>
    <w:rsid w:val="73340BEB"/>
    <w:rsid w:val="734164B8"/>
    <w:rsid w:val="73430CDF"/>
    <w:rsid w:val="7347555E"/>
    <w:rsid w:val="737C72AC"/>
    <w:rsid w:val="73984349"/>
    <w:rsid w:val="73A23BDC"/>
    <w:rsid w:val="747222FC"/>
    <w:rsid w:val="74832F17"/>
    <w:rsid w:val="749F045F"/>
    <w:rsid w:val="749F6ED0"/>
    <w:rsid w:val="74B32C36"/>
    <w:rsid w:val="74D01569"/>
    <w:rsid w:val="74D4347F"/>
    <w:rsid w:val="75235E82"/>
    <w:rsid w:val="75251FE7"/>
    <w:rsid w:val="752932D7"/>
    <w:rsid w:val="752A37CD"/>
    <w:rsid w:val="752B3AF9"/>
    <w:rsid w:val="755F1506"/>
    <w:rsid w:val="756B50F1"/>
    <w:rsid w:val="756C7FC4"/>
    <w:rsid w:val="75794C54"/>
    <w:rsid w:val="759B7A8F"/>
    <w:rsid w:val="75B45305"/>
    <w:rsid w:val="75D62507"/>
    <w:rsid w:val="76157151"/>
    <w:rsid w:val="761B1C33"/>
    <w:rsid w:val="76334E23"/>
    <w:rsid w:val="763522F7"/>
    <w:rsid w:val="767C428B"/>
    <w:rsid w:val="767D7B65"/>
    <w:rsid w:val="76947F15"/>
    <w:rsid w:val="76AF0EAF"/>
    <w:rsid w:val="76B45A75"/>
    <w:rsid w:val="76C41703"/>
    <w:rsid w:val="76FF4F5A"/>
    <w:rsid w:val="771C7CF8"/>
    <w:rsid w:val="77307452"/>
    <w:rsid w:val="774B6F62"/>
    <w:rsid w:val="77A11AA2"/>
    <w:rsid w:val="784045D9"/>
    <w:rsid w:val="786105E5"/>
    <w:rsid w:val="78A447AC"/>
    <w:rsid w:val="78AC617E"/>
    <w:rsid w:val="78C32B69"/>
    <w:rsid w:val="79057454"/>
    <w:rsid w:val="79B57FF6"/>
    <w:rsid w:val="79BA3F66"/>
    <w:rsid w:val="79C760FA"/>
    <w:rsid w:val="79CC2FD8"/>
    <w:rsid w:val="79E52F5E"/>
    <w:rsid w:val="7A5A342A"/>
    <w:rsid w:val="7A887822"/>
    <w:rsid w:val="7ADE00E9"/>
    <w:rsid w:val="7AEC547E"/>
    <w:rsid w:val="7B0946F5"/>
    <w:rsid w:val="7B7E45EA"/>
    <w:rsid w:val="7BC662C8"/>
    <w:rsid w:val="7C152C4D"/>
    <w:rsid w:val="7C413BF6"/>
    <w:rsid w:val="7C9A1340"/>
    <w:rsid w:val="7CBD2FAD"/>
    <w:rsid w:val="7CE17A31"/>
    <w:rsid w:val="7CED1E3C"/>
    <w:rsid w:val="7D006630"/>
    <w:rsid w:val="7D14770E"/>
    <w:rsid w:val="7D154AFB"/>
    <w:rsid w:val="7D3D0043"/>
    <w:rsid w:val="7D7B200D"/>
    <w:rsid w:val="7D9A494B"/>
    <w:rsid w:val="7E0308E6"/>
    <w:rsid w:val="7E0340E8"/>
    <w:rsid w:val="7E055B1C"/>
    <w:rsid w:val="7E292085"/>
    <w:rsid w:val="7E2E649F"/>
    <w:rsid w:val="7E791135"/>
    <w:rsid w:val="7E9B4C4E"/>
    <w:rsid w:val="7EF87C03"/>
    <w:rsid w:val="7EFF5357"/>
    <w:rsid w:val="7F2A2BDC"/>
    <w:rsid w:val="7F2B0160"/>
    <w:rsid w:val="7F5D6D52"/>
    <w:rsid w:val="7FDB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widowControl/>
      <w:jc w:val="left"/>
    </w:pPr>
    <w:rPr>
      <w:rFonts w:asciiTheme="minorHAnsi" w:hAnsiTheme="minorHAnsi" w:eastAsiaTheme="minorEastAsia" w:cstheme="minorBidi"/>
      <w:szCs w:val="22"/>
    </w:rPr>
  </w:style>
  <w:style w:type="paragraph" w:styleId="3">
    <w:name w:val="Plain Text"/>
    <w:basedOn w:val="1"/>
    <w:qFormat/>
    <w:uiPriority w:val="99"/>
    <w:rPr>
      <w:rFonts w:ascii="宋体" w:hAnsi="Courier New"/>
      <w:szCs w:val="21"/>
    </w:rPr>
  </w:style>
  <w:style w:type="paragraph" w:styleId="5">
    <w:name w:val="Normal Indent"/>
    <w:basedOn w:val="1"/>
    <w:next w:val="6"/>
    <w:qFormat/>
    <w:uiPriority w:val="0"/>
    <w:pPr>
      <w:widowControl/>
      <w:overflowPunct w:val="0"/>
      <w:autoSpaceDE w:val="0"/>
      <w:autoSpaceDN w:val="0"/>
      <w:adjustRightInd w:val="0"/>
      <w:spacing w:line="300" w:lineRule="auto"/>
      <w:ind w:left="2268" w:firstLine="420"/>
      <w:jc w:val="left"/>
      <w:textAlignment w:val="baseline"/>
    </w:pPr>
    <w:rPr>
      <w:rFonts w:ascii="Arial Unicode MS" w:hAnsi="Arial Unicode MS"/>
      <w:kern w:val="0"/>
      <w:sz w:val="24"/>
      <w:szCs w:val="20"/>
    </w:rPr>
  </w:style>
  <w:style w:type="paragraph" w:styleId="6">
    <w:name w:val="caption"/>
    <w:basedOn w:val="1"/>
    <w:next w:val="1"/>
    <w:qFormat/>
    <w:uiPriority w:val="0"/>
    <w:pPr>
      <w:spacing w:beforeLines="20" w:afterLines="20"/>
    </w:pPr>
    <w:rPr>
      <w:rFonts w:ascii="Arial" w:hAnsi="Arial" w:eastAsia="黑体"/>
      <w:sz w:val="20"/>
      <w:szCs w:val="20"/>
    </w:rPr>
  </w:style>
  <w:style w:type="paragraph" w:styleId="7">
    <w:name w:val="annotation text"/>
    <w:basedOn w:val="1"/>
    <w:unhideWhenUsed/>
    <w:qFormat/>
    <w:uiPriority w:val="0"/>
    <w:pPr>
      <w:jc w:val="left"/>
    </w:pPr>
  </w:style>
  <w:style w:type="paragraph" w:styleId="8">
    <w:name w:val="Body Text Indent"/>
    <w:basedOn w:val="1"/>
    <w:next w:val="9"/>
    <w:unhideWhenUsed/>
    <w:qFormat/>
    <w:uiPriority w:val="99"/>
    <w:pPr>
      <w:ind w:firstLine="600" w:firstLineChars="200"/>
    </w:pPr>
    <w:rPr>
      <w:rFonts w:asciiTheme="minorHAnsi" w:hAnsiTheme="minorHAnsi" w:eastAsiaTheme="minorEastAsia" w:cstheme="minorBidi"/>
      <w:sz w:val="30"/>
      <w:szCs w:val="22"/>
    </w:rPr>
  </w:style>
  <w:style w:type="paragraph" w:styleId="9">
    <w:name w:val="envelope return"/>
    <w:basedOn w:val="1"/>
    <w:unhideWhenUsed/>
    <w:qFormat/>
    <w:uiPriority w:val="99"/>
    <w:pPr>
      <w:snapToGrid w:val="0"/>
    </w:pPr>
    <w:rPr>
      <w:rFonts w:ascii="Arial" w:hAnsi="Arial"/>
    </w:rPr>
  </w:style>
  <w:style w:type="paragraph" w:styleId="10">
    <w:name w:val="Title"/>
    <w:basedOn w:val="4"/>
    <w:next w:val="1"/>
    <w:qFormat/>
    <w:uiPriority w:val="0"/>
    <w:pPr>
      <w:spacing w:beforeLines="50" w:afterLines="50" w:line="240" w:lineRule="auto"/>
    </w:pPr>
    <w:rPr>
      <w:rFonts w:ascii="楷体" w:hAnsi="楷体" w:eastAsia="楷体" w:cs="Times New Roman"/>
      <w:sz w:val="28"/>
      <w:szCs w:val="28"/>
    </w:rPr>
  </w:style>
  <w:style w:type="paragraph" w:styleId="11">
    <w:name w:val="Body Text First Indent"/>
    <w:basedOn w:val="2"/>
    <w:unhideWhenUsed/>
    <w:qFormat/>
    <w:uiPriority w:val="0"/>
    <w:pPr>
      <w:widowControl w:val="0"/>
      <w:spacing w:line="240" w:lineRule="auto"/>
      <w:ind w:left="0" w:firstLine="420" w:firstLineChars="100"/>
      <w:jc w:val="both"/>
    </w:pPr>
    <w:rPr>
      <w:rFonts w:ascii="Arial" w:hAnsi="Arial"/>
      <w:kern w:val="2"/>
      <w:sz w:val="21"/>
      <w:szCs w:val="24"/>
    </w:rPr>
  </w:style>
  <w:style w:type="paragraph" w:styleId="12">
    <w:name w:val="Body Text First Indent 2"/>
    <w:basedOn w:val="8"/>
    <w:next w:val="11"/>
    <w:semiHidden/>
    <w:unhideWhenUsed/>
    <w:qFormat/>
    <w:uiPriority w:val="99"/>
    <w:pPr>
      <w:spacing w:after="120"/>
      <w:ind w:left="420" w:leftChars="200" w:firstLine="420"/>
    </w:pPr>
    <w:rPr>
      <w:rFonts w:ascii="Times New Roman" w:hAnsi="Times New Roman" w:eastAsia="宋体" w:cs="Times New Roman"/>
      <w:sz w:val="21"/>
      <w:szCs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Body1"/>
    <w:basedOn w:val="1"/>
    <w:qFormat/>
    <w:uiPriority w:val="0"/>
    <w:pPr>
      <w:spacing w:afterLines="50" w:line="360" w:lineRule="auto"/>
    </w:pPr>
    <w:rPr>
      <w:rFonts w:cs="宋体"/>
      <w:sz w:val="2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2024-07-30T09:52:00Z</dcterms:created>
  <dc:creator>zh-zhangenhao</dc:creator>
  <cp:lastModifiedBy>张恩浩</cp:lastModifiedBy>
  <dcterms:modified xsi:type="dcterms:W3CDTF">2025-06-20T10:09:01Z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B035B8765B5743BB8DD040E494FAD50E</vt:lpwstr>
  </property>
</Properties>
</file>