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left"/>
        <w:rPr>
          <w:rFonts w:ascii="宋体" w:hAnsi="宋体" w:cs="宋体"/>
          <w:kern w:val="0"/>
          <w:sz w:val="28"/>
          <w:szCs w:val="28"/>
        </w:rPr>
      </w:pPr>
      <w:r>
        <w:rPr>
          <w:rFonts w:hint="eastAsia" w:ascii="宋体" w:hAnsi="宋体" w:cs="宋体"/>
          <w:kern w:val="0"/>
          <w:sz w:val="28"/>
          <w:szCs w:val="28"/>
        </w:rPr>
        <w:t>附件-报名资料模板</w:t>
      </w:r>
    </w:p>
    <w:p>
      <w:pPr>
        <w:pStyle w:val="4"/>
        <w:jc w:val="left"/>
        <w:rPr>
          <w:rFonts w:hint="eastAsia"/>
        </w:rPr>
      </w:pPr>
      <w:r>
        <w:rPr>
          <w:rFonts w:hint="eastAsia"/>
        </w:rPr>
        <w:t>法定代表人授权书（格式）</w:t>
      </w:r>
    </w:p>
    <w:p>
      <w:pPr>
        <w:spacing w:line="360" w:lineRule="auto"/>
        <w:ind w:firstLine="560" w:firstLineChars="200"/>
        <w:jc w:val="center"/>
        <w:rPr>
          <w:rFonts w:hint="eastAsia" w:ascii="宋体" w:hAnsi="宋体"/>
          <w:bCs/>
          <w:spacing w:val="20"/>
          <w:sz w:val="24"/>
        </w:rPr>
      </w:pPr>
    </w:p>
    <w:p>
      <w:pPr>
        <w:spacing w:line="360" w:lineRule="auto"/>
        <w:ind w:firstLine="420" w:firstLineChars="200"/>
        <w:rPr>
          <w:szCs w:val="21"/>
        </w:rPr>
      </w:pPr>
      <w:r>
        <w:rPr>
          <w:szCs w:val="21"/>
        </w:rPr>
        <w:t>本授权书声明：注册于</w:t>
      </w:r>
      <w:r>
        <w:rPr>
          <w:szCs w:val="21"/>
          <w:u w:val="single"/>
        </w:rPr>
        <w:t xml:space="preserve">（国家或地区的名称） </w:t>
      </w:r>
      <w:r>
        <w:rPr>
          <w:szCs w:val="21"/>
        </w:rPr>
        <w:t>的</w:t>
      </w:r>
      <w:r>
        <w:rPr>
          <w:szCs w:val="21"/>
          <w:u w:val="single"/>
        </w:rPr>
        <w:t>（公司名称）</w:t>
      </w:r>
      <w:r>
        <w:rPr>
          <w:szCs w:val="21"/>
        </w:rPr>
        <w:t>的</w:t>
      </w:r>
      <w:r>
        <w:rPr>
          <w:szCs w:val="21"/>
          <w:u w:val="single"/>
        </w:rPr>
        <w:t xml:space="preserve">（法定代表人姓名） </w:t>
      </w:r>
      <w:r>
        <w:rPr>
          <w:szCs w:val="21"/>
        </w:rPr>
        <w:t xml:space="preserve">代表本公司授权 </w:t>
      </w:r>
      <w:r>
        <w:rPr>
          <w:szCs w:val="21"/>
          <w:u w:val="single"/>
        </w:rPr>
        <w:t xml:space="preserve">   （单位名称）   </w:t>
      </w:r>
      <w:r>
        <w:rPr>
          <w:szCs w:val="21"/>
        </w:rPr>
        <w:t>的</w:t>
      </w:r>
      <w:r>
        <w:rPr>
          <w:szCs w:val="21"/>
          <w:u w:val="single"/>
        </w:rPr>
        <w:t>（授权代理人的姓名、职务） （身份证号码：               ）</w:t>
      </w:r>
      <w:r>
        <w:rPr>
          <w:szCs w:val="21"/>
        </w:rPr>
        <w:t>为本公司的合法代理人，就</w:t>
      </w:r>
      <w:r>
        <w:rPr>
          <w:szCs w:val="21"/>
          <w:u w:val="single"/>
        </w:rPr>
        <w:t xml:space="preserve"> （项目名称） </w:t>
      </w:r>
      <w:r>
        <w:rPr>
          <w:szCs w:val="21"/>
        </w:rPr>
        <w:t>，以本公司名义处理与本项目报名相关的所有事务。</w:t>
      </w:r>
    </w:p>
    <w:p>
      <w:pPr>
        <w:spacing w:line="400" w:lineRule="exact"/>
        <w:rPr>
          <w:szCs w:val="21"/>
        </w:rPr>
      </w:pPr>
    </w:p>
    <w:p>
      <w:pPr>
        <w:spacing w:line="400" w:lineRule="exact"/>
        <w:ind w:firstLine="425"/>
        <w:jc w:val="left"/>
        <w:rPr>
          <w:szCs w:val="21"/>
        </w:rPr>
      </w:pPr>
      <w:r>
        <w:rPr>
          <w:szCs w:val="21"/>
        </w:rPr>
        <w:t>本授权书于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日签字生效， 特此声明。</w:t>
      </w:r>
    </w:p>
    <w:p>
      <w:pPr>
        <w:spacing w:line="400" w:lineRule="exact"/>
        <w:rPr>
          <w:szCs w:val="21"/>
        </w:rPr>
      </w:pPr>
    </w:p>
    <w:p>
      <w:pPr>
        <w:spacing w:line="400" w:lineRule="exact"/>
        <w:rPr>
          <w:rFonts w:hint="eastAsia"/>
          <w:szCs w:val="21"/>
          <w:u w:val="single"/>
        </w:rPr>
      </w:pPr>
      <w:r>
        <w:rPr>
          <w:szCs w:val="21"/>
        </w:rPr>
        <w:t>法定代表人签字</w:t>
      </w:r>
      <w:r>
        <w:rPr>
          <w:rFonts w:hint="eastAsia"/>
          <w:szCs w:val="21"/>
        </w:rPr>
        <w:t>或盖章</w:t>
      </w:r>
      <w:r>
        <w:rPr>
          <w:szCs w:val="21"/>
        </w:rPr>
        <w:t>：</w:t>
      </w:r>
      <w:r>
        <w:rPr>
          <w:rFonts w:hint="eastAsia"/>
          <w:szCs w:val="21"/>
        </w:rPr>
        <w:t xml:space="preserve">     </w:t>
      </w:r>
      <w:r>
        <w:rPr>
          <w:szCs w:val="21"/>
          <w:u w:val="single"/>
        </w:rPr>
        <w:t xml:space="preserve">                     </w:t>
      </w:r>
    </w:p>
    <w:p>
      <w:pPr>
        <w:spacing w:line="400" w:lineRule="exact"/>
        <w:rPr>
          <w:rFonts w:hint="eastAsia"/>
          <w:szCs w:val="21"/>
          <w:u w:val="single"/>
        </w:rPr>
      </w:pPr>
      <w:r>
        <w:rPr>
          <w:szCs w:val="21"/>
        </w:rPr>
        <w:t>授权代理人签字</w:t>
      </w:r>
      <w:r>
        <w:rPr>
          <w:rFonts w:hint="eastAsia"/>
          <w:szCs w:val="21"/>
        </w:rPr>
        <w:t>或盖章</w:t>
      </w:r>
      <w:r>
        <w:rPr>
          <w:szCs w:val="21"/>
        </w:rPr>
        <w:t xml:space="preserve">：     </w:t>
      </w:r>
      <w:r>
        <w:rPr>
          <w:szCs w:val="21"/>
          <w:u w:val="single"/>
        </w:rPr>
        <w:t xml:space="preserve">                     </w:t>
      </w:r>
    </w:p>
    <w:p>
      <w:pPr>
        <w:spacing w:line="400" w:lineRule="exact"/>
        <w:rPr>
          <w:rFonts w:hint="eastAsia"/>
          <w:szCs w:val="21"/>
          <w:u w:val="single"/>
        </w:rPr>
      </w:pPr>
      <w:r>
        <w:rPr>
          <w:szCs w:val="21"/>
        </w:rPr>
        <w:t xml:space="preserve">公司名称：                </w:t>
      </w:r>
      <w:r>
        <w:rPr>
          <w:rFonts w:hint="eastAsia"/>
          <w:szCs w:val="21"/>
        </w:rPr>
        <w:t xml:space="preserve"> </w:t>
      </w:r>
      <w:r>
        <w:rPr>
          <w:szCs w:val="21"/>
          <w:u w:val="single"/>
        </w:rPr>
        <w:t xml:space="preserve">                     </w:t>
      </w:r>
    </w:p>
    <w:p>
      <w:pPr>
        <w:spacing w:line="400" w:lineRule="exact"/>
        <w:rPr>
          <w:szCs w:val="21"/>
          <w:u w:val="single"/>
        </w:rPr>
      </w:pPr>
      <w:r>
        <w:rPr>
          <w:szCs w:val="21"/>
        </w:rPr>
        <w:t xml:space="preserve">地址：                     </w:t>
      </w:r>
      <w:r>
        <w:rPr>
          <w:szCs w:val="21"/>
          <w:u w:val="single"/>
        </w:rPr>
        <w:t xml:space="preserve">                     </w:t>
      </w:r>
    </w:p>
    <w:p>
      <w:pPr>
        <w:spacing w:line="400" w:lineRule="exact"/>
        <w:rPr>
          <w:szCs w:val="21"/>
          <w:u w:val="single"/>
        </w:rPr>
      </w:pPr>
      <w:r>
        <w:rPr>
          <w:szCs w:val="21"/>
        </w:rPr>
        <w:t>加盖公章：</w:t>
      </w:r>
      <w:r>
        <w:rPr>
          <w:rFonts w:hint="eastAsia"/>
          <w:szCs w:val="21"/>
        </w:rPr>
        <w:t xml:space="preserve">                 </w:t>
      </w:r>
      <w:r>
        <w:rPr>
          <w:szCs w:val="21"/>
          <w:u w:val="single"/>
        </w:rPr>
        <w:t xml:space="preserve">                     </w:t>
      </w:r>
    </w:p>
    <w:p>
      <w:pPr>
        <w:spacing w:line="420" w:lineRule="exact"/>
        <w:ind w:firstLine="560" w:firstLineChars="200"/>
        <w:rPr>
          <w:rFonts w:hint="eastAsia" w:ascii="宋体" w:hAnsi="宋体"/>
          <w:bCs/>
          <w:spacing w:val="20"/>
          <w:sz w:val="24"/>
        </w:rPr>
      </w:pPr>
    </w:p>
    <w:p>
      <w:pPr>
        <w:tabs>
          <w:tab w:val="left" w:pos="426"/>
        </w:tabs>
        <w:snapToGrid w:val="0"/>
        <w:spacing w:line="360" w:lineRule="auto"/>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231775</wp:posOffset>
                </wp:positionV>
                <wp:extent cx="2760980" cy="1685290"/>
                <wp:effectExtent l="8255" t="8255" r="12065" b="20955"/>
                <wp:wrapNone/>
                <wp:docPr id="1" name="矩形 1"/>
                <wp:cNvGraphicFramePr/>
                <a:graphic xmlns:a="http://schemas.openxmlformats.org/drawingml/2006/main">
                  <a:graphicData uri="http://schemas.microsoft.com/office/word/2010/wordprocessingShape">
                    <wps:wsp>
                      <wps:cNvSpPr/>
                      <wps:spPr>
                        <a:xfrm>
                          <a:off x="0" y="0"/>
                          <a:ext cx="2760980" cy="168529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0.35pt;margin-top:18.25pt;height:132.7pt;width:217.4pt;z-index:251659264;mso-width-relative:page;mso-height-relative:page;" fillcolor="#FFFFFF" filled="t" stroked="t" coordsize="21600,21600" o:gfxdata="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jajOv9cAAAAIAQAADwAAAAAAAAABACAAAAAiAAAAZHJzL2Rv&#10;d25yZXYueG1sUEsBAhQAFAAAAAgAh07iQBG+3Ek7AgAAsgQAAA4AAAAAAAAAAQAgAAAAJgEAAGRy&#10;cy9lMm9Eb2MueG1sUEsFBgAAAAAGAAYAWQEAANMFAAAAAA==&#10;">
                <v:path/>
                <v:fill type="gradient" on="t" angle="90" focussize="0f,0f">
                  <o:fill type="gradientUnscaled" v:ext="backwardCompatible"/>
                </v:fill>
                <v:stroke weight="1.25pt"/>
                <v:imagedata o:title=""/>
                <o:lock v:ext="edit"/>
                <v:textbox>
                  <w:txbxContent>
                    <w:p/>
                  </w:txbxContent>
                </v:textbox>
              </v:rect>
            </w:pict>
          </mc:Fallback>
        </mc:AlternateContent>
      </w:r>
      <w:r>
        <w:rPr>
          <w:rFonts w:hint="eastAsia" w:ascii="宋体" w:hAnsi="宋体" w:cs="宋体"/>
          <w:szCs w:val="21"/>
        </w:rPr>
        <w:t>法人身份证明（正反面）：</w:t>
      </w:r>
    </w:p>
    <w:p>
      <w:pPr>
        <w:tabs>
          <w:tab w:val="left" w:pos="426"/>
        </w:tabs>
        <w:snapToGrid w:val="0"/>
        <w:spacing w:line="360" w:lineRule="auto"/>
        <w:rPr>
          <w:rFonts w:hint="eastAsia" w:ascii="宋体" w:hAnsi="宋体" w:cs="宋体"/>
          <w:szCs w:val="21"/>
        </w:rPr>
      </w:pPr>
    </w:p>
    <w:p>
      <w:pPr>
        <w:tabs>
          <w:tab w:val="left" w:pos="426"/>
        </w:tabs>
        <w:snapToGrid w:val="0"/>
        <w:spacing w:line="360" w:lineRule="auto"/>
        <w:rPr>
          <w:rFonts w:hint="eastAsia" w:ascii="宋体" w:hAnsi="宋体" w:cs="宋体"/>
          <w:szCs w:val="21"/>
        </w:rPr>
      </w:pPr>
    </w:p>
    <w:p>
      <w:pPr>
        <w:tabs>
          <w:tab w:val="left" w:pos="426"/>
        </w:tabs>
        <w:snapToGrid w:val="0"/>
        <w:spacing w:line="360" w:lineRule="auto"/>
        <w:rPr>
          <w:rFonts w:hint="eastAsia" w:ascii="宋体" w:hAnsi="宋体" w:cs="宋体"/>
          <w:szCs w:val="21"/>
        </w:rPr>
      </w:pPr>
    </w:p>
    <w:p>
      <w:pPr>
        <w:tabs>
          <w:tab w:val="left" w:pos="426"/>
        </w:tabs>
        <w:snapToGrid w:val="0"/>
        <w:spacing w:line="360" w:lineRule="auto"/>
        <w:rPr>
          <w:rFonts w:hint="eastAsia" w:ascii="宋体" w:hAnsi="宋体" w:cs="宋体"/>
          <w:szCs w:val="21"/>
        </w:rPr>
      </w:pPr>
    </w:p>
    <w:p>
      <w:pPr>
        <w:tabs>
          <w:tab w:val="left" w:pos="426"/>
        </w:tabs>
        <w:snapToGrid w:val="0"/>
        <w:spacing w:line="360" w:lineRule="auto"/>
        <w:rPr>
          <w:rFonts w:hint="eastAsia" w:ascii="宋体" w:hAnsi="宋体" w:cs="宋体"/>
          <w:szCs w:val="21"/>
        </w:rPr>
      </w:pPr>
    </w:p>
    <w:p>
      <w:pPr>
        <w:tabs>
          <w:tab w:val="left" w:pos="426"/>
        </w:tabs>
        <w:snapToGrid w:val="0"/>
        <w:spacing w:line="360" w:lineRule="auto"/>
        <w:rPr>
          <w:rFonts w:hint="eastAsia" w:ascii="宋体" w:hAnsi="宋体" w:cs="宋体"/>
          <w:szCs w:val="21"/>
        </w:rPr>
      </w:pPr>
    </w:p>
    <w:p>
      <w:pPr>
        <w:tabs>
          <w:tab w:val="left" w:pos="426"/>
        </w:tabs>
        <w:snapToGrid w:val="0"/>
        <w:spacing w:line="360" w:lineRule="auto"/>
        <w:rPr>
          <w:rFonts w:hint="eastAsia" w:ascii="宋体" w:hAnsi="宋体" w:cs="宋体"/>
          <w:szCs w:val="21"/>
        </w:rPr>
      </w:pPr>
    </w:p>
    <w:p>
      <w:pPr>
        <w:tabs>
          <w:tab w:val="left" w:pos="426"/>
        </w:tabs>
        <w:snapToGrid w:val="0"/>
        <w:spacing w:line="360" w:lineRule="auto"/>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347345</wp:posOffset>
                </wp:positionV>
                <wp:extent cx="2760980" cy="1685290"/>
                <wp:effectExtent l="8255" t="8255" r="12065" b="20955"/>
                <wp:wrapNone/>
                <wp:docPr id="2" name="矩形 2"/>
                <wp:cNvGraphicFramePr/>
                <a:graphic xmlns:a="http://schemas.openxmlformats.org/drawingml/2006/main">
                  <a:graphicData uri="http://schemas.microsoft.com/office/word/2010/wordprocessingShape">
                    <wps:wsp>
                      <wps:cNvSpPr/>
                      <wps:spPr>
                        <a:xfrm>
                          <a:off x="0" y="0"/>
                          <a:ext cx="2760980" cy="168529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0.35pt;margin-top:27.35pt;height:132.7pt;width:217.4pt;z-index:251660288;mso-width-relative:page;mso-height-relative:page;" fillcolor="#FFFFFF" filled="t" stroked="t" coordsize="21600,21600" o:gfxdata="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fmV6UdcAAAAIAQAADwAAAAAAAAABACAAAAAiAAAAZHJzL2Rv&#10;d25yZXYueG1sUEsBAhQAFAAAAAgAh07iQCF7eRw7AgAAsgQAAA4AAAAAAAAAAQAgAAAAJgEAAGRy&#10;cy9lMm9Eb2MueG1sUEsFBgAAAAAGAAYAWQEAANMFAAAAAA==&#10;">
                <v:path/>
                <v:fill type="gradient" on="t" angle="90" focussize="0f,0f">
                  <o:fill type="gradientUnscaled" v:ext="backwardCompatible"/>
                </v:fill>
                <v:stroke weight="1.25pt"/>
                <v:imagedata o:title=""/>
                <o:lock v:ext="edit"/>
                <v:textbox>
                  <w:txbxContent>
                    <w:p/>
                  </w:txbxContent>
                </v:textbox>
              </v:rect>
            </w:pict>
          </mc:Fallback>
        </mc:AlternateContent>
      </w:r>
    </w:p>
    <w:p>
      <w:pPr>
        <w:jc w:val="cente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tabs>
          <w:tab w:val="left" w:pos="426"/>
        </w:tabs>
        <w:snapToGrid w:val="0"/>
        <w:spacing w:line="360" w:lineRule="auto"/>
        <w:rPr>
          <w:rFonts w:hint="eastAsia" w:ascii="宋体" w:hAnsi="宋体" w:cs="宋体"/>
          <w:b/>
          <w:szCs w:val="21"/>
        </w:rPr>
      </w:pPr>
      <w:r>
        <w:rPr>
          <w:rFonts w:ascii="宋体" w:hAnsi="宋体" w:cs="宋体"/>
          <w:szCs w:val="21"/>
        </w:rPr>
        <w:br w:type="page"/>
      </w:r>
      <w:r>
        <w:rPr>
          <w:rFonts w:hint="eastAsia" w:ascii="宋体" w:hAnsi="宋体" w:cs="宋体"/>
          <w:b/>
          <w:sz w:val="24"/>
          <w:szCs w:val="21"/>
        </w:rPr>
        <mc:AlternateContent>
          <mc:Choice Requires="wps">
            <w:drawing>
              <wp:anchor distT="0" distB="0" distL="114300" distR="114300" simplePos="0" relativeHeight="251661312" behindDoc="0" locked="0" layoutInCell="1" allowOverlap="1">
                <wp:simplePos x="0" y="0"/>
                <wp:positionH relativeFrom="column">
                  <wp:posOffset>-4445</wp:posOffset>
                </wp:positionH>
                <wp:positionV relativeFrom="paragraph">
                  <wp:posOffset>231775</wp:posOffset>
                </wp:positionV>
                <wp:extent cx="2760980" cy="1685290"/>
                <wp:effectExtent l="8255" t="8255" r="12065" b="20955"/>
                <wp:wrapNone/>
                <wp:docPr id="3" name="矩形 3"/>
                <wp:cNvGraphicFramePr/>
                <a:graphic xmlns:a="http://schemas.openxmlformats.org/drawingml/2006/main">
                  <a:graphicData uri="http://schemas.microsoft.com/office/word/2010/wordprocessingShape">
                    <wps:wsp>
                      <wps:cNvSpPr/>
                      <wps:spPr>
                        <a:xfrm>
                          <a:off x="0" y="0"/>
                          <a:ext cx="2760980" cy="168529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0.35pt;margin-top:18.25pt;height:132.7pt;width:217.4pt;z-index:251661312;mso-width-relative:page;mso-height-relative:page;" fillcolor="#FFFFFF" filled="t" stroked="t" coordsize="21600,21600" o:gfxdata="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NqM6/1wAAAAgBAAAPAAAAAAAAAAEAIAAAACIAAABkcnMv&#10;ZG93bnJldi54bWxQSwECFAAUAAAACACHTuJAMTgaLz0CAACyBAAADgAAAAAAAAABACAAAAAmAQAA&#10;ZHJzL2Uyb0RvYy54bWxQSwUGAAAAAAYABgBZAQAA1QUAAAAA&#10;">
                <v:path/>
                <v:fill type="gradient" on="t" angle="90" focussize="0f,0f">
                  <o:fill type="gradientUnscaled" v:ext="backwardCompatible"/>
                </v:fill>
                <v:stroke weight="1.25pt"/>
                <v:imagedata o:title=""/>
                <o:lock v:ext="edit"/>
                <v:textbox>
                  <w:txbxContent>
                    <w:p/>
                  </w:txbxContent>
                </v:textbox>
              </v:rect>
            </w:pict>
          </mc:Fallback>
        </mc:AlternateContent>
      </w:r>
      <w:r>
        <w:rPr>
          <w:rFonts w:hint="eastAsia" w:ascii="宋体" w:hAnsi="宋体" w:cs="宋体"/>
          <w:b/>
          <w:sz w:val="24"/>
          <w:szCs w:val="21"/>
        </w:rPr>
        <w:t>被授权人身份证明（正反面）加盖公章：</w:t>
      </w:r>
    </w:p>
    <w:p>
      <w:pPr>
        <w:tabs>
          <w:tab w:val="left" w:pos="426"/>
        </w:tabs>
        <w:snapToGrid w:val="0"/>
        <w:spacing w:line="360" w:lineRule="auto"/>
        <w:rPr>
          <w:rFonts w:hint="eastAsia" w:ascii="宋体" w:hAnsi="宋体" w:cs="宋体"/>
          <w:szCs w:val="21"/>
        </w:rPr>
      </w:pPr>
    </w:p>
    <w:p>
      <w:pPr>
        <w:tabs>
          <w:tab w:val="left" w:pos="426"/>
        </w:tabs>
        <w:snapToGrid w:val="0"/>
        <w:spacing w:line="360" w:lineRule="auto"/>
        <w:rPr>
          <w:rFonts w:hint="eastAsia" w:ascii="宋体" w:hAnsi="宋体" w:cs="宋体"/>
          <w:szCs w:val="21"/>
        </w:rPr>
      </w:pPr>
    </w:p>
    <w:p>
      <w:pPr>
        <w:tabs>
          <w:tab w:val="left" w:pos="426"/>
        </w:tabs>
        <w:snapToGrid w:val="0"/>
        <w:spacing w:line="360" w:lineRule="auto"/>
        <w:rPr>
          <w:rFonts w:hint="eastAsia" w:ascii="宋体" w:hAnsi="宋体" w:cs="宋体"/>
          <w:szCs w:val="21"/>
        </w:rPr>
      </w:pPr>
    </w:p>
    <w:p>
      <w:pPr>
        <w:tabs>
          <w:tab w:val="left" w:pos="426"/>
        </w:tabs>
        <w:snapToGrid w:val="0"/>
        <w:spacing w:line="360" w:lineRule="auto"/>
        <w:rPr>
          <w:rFonts w:hint="eastAsia" w:ascii="宋体" w:hAnsi="宋体" w:cs="宋体"/>
          <w:szCs w:val="21"/>
        </w:rPr>
      </w:pPr>
    </w:p>
    <w:p>
      <w:pPr>
        <w:tabs>
          <w:tab w:val="left" w:pos="426"/>
        </w:tabs>
        <w:snapToGrid w:val="0"/>
        <w:spacing w:line="360" w:lineRule="auto"/>
        <w:rPr>
          <w:rFonts w:hint="eastAsia" w:ascii="宋体" w:hAnsi="宋体" w:cs="宋体"/>
          <w:szCs w:val="21"/>
        </w:rPr>
      </w:pPr>
    </w:p>
    <w:p>
      <w:pPr>
        <w:tabs>
          <w:tab w:val="left" w:pos="426"/>
        </w:tabs>
        <w:snapToGrid w:val="0"/>
        <w:spacing w:line="360" w:lineRule="auto"/>
        <w:rPr>
          <w:rFonts w:hint="eastAsia" w:ascii="宋体" w:hAnsi="宋体" w:cs="宋体"/>
          <w:szCs w:val="21"/>
        </w:rPr>
      </w:pPr>
    </w:p>
    <w:p>
      <w:pPr>
        <w:tabs>
          <w:tab w:val="left" w:pos="426"/>
        </w:tabs>
        <w:snapToGrid w:val="0"/>
        <w:spacing w:line="360" w:lineRule="auto"/>
        <w:rPr>
          <w:rFonts w:hint="eastAsia" w:ascii="宋体" w:hAnsi="宋体" w:cs="宋体"/>
          <w:szCs w:val="21"/>
        </w:rPr>
      </w:pPr>
    </w:p>
    <w:p>
      <w:pPr>
        <w:tabs>
          <w:tab w:val="left" w:pos="426"/>
        </w:tabs>
        <w:snapToGrid w:val="0"/>
        <w:spacing w:line="360" w:lineRule="auto"/>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62336" behindDoc="0" locked="0" layoutInCell="1" allowOverlap="1">
                <wp:simplePos x="0" y="0"/>
                <wp:positionH relativeFrom="column">
                  <wp:posOffset>-4445</wp:posOffset>
                </wp:positionH>
                <wp:positionV relativeFrom="paragraph">
                  <wp:posOffset>347345</wp:posOffset>
                </wp:positionV>
                <wp:extent cx="2760980" cy="1685290"/>
                <wp:effectExtent l="8255" t="8255" r="12065" b="20955"/>
                <wp:wrapNone/>
                <wp:docPr id="4" name="矩形 4"/>
                <wp:cNvGraphicFramePr/>
                <a:graphic xmlns:a="http://schemas.openxmlformats.org/drawingml/2006/main">
                  <a:graphicData uri="http://schemas.microsoft.com/office/word/2010/wordprocessingShape">
                    <wps:wsp>
                      <wps:cNvSpPr/>
                      <wps:spPr>
                        <a:xfrm>
                          <a:off x="0" y="0"/>
                          <a:ext cx="2760980" cy="168529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0.35pt;margin-top:27.35pt;height:132.7pt;width:217.4pt;z-index:251662336;mso-width-relative:page;mso-height-relative:page;" fillcolor="#FFFFFF" filled="t" stroked="t" coordsize="21600,21600" o:gfxdata="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ZXpR1wAAAAgBAAAPAAAAAAAAAAEAIAAAACIAAABkcnMv&#10;ZG93bnJldi54bWxQSwECFAAUAAAACACHTuJAQfEytz0CAACyBAAADgAAAAAAAAABACAAAAAmAQAA&#10;ZHJzL2Uyb0RvYy54bWxQSwUGAAAAAAYABgBZAQAA1QUAAAAA&#10;">
                <v:path/>
                <v:fill type="gradient" on="t" angle="90" focussize="0f,0f">
                  <o:fill type="gradientUnscaled" v:ext="backwardCompatible"/>
                </v:fill>
                <v:stroke weight="1.25pt"/>
                <v:imagedata o:title=""/>
                <o:lock v:ext="edit"/>
                <v:textbox>
                  <w:txbxContent>
                    <w:p/>
                  </w:txbxContent>
                </v:textbox>
              </v:rect>
            </w:pict>
          </mc:Fallback>
        </mc:AlternateContent>
      </w:r>
    </w:p>
    <w:p>
      <w:pPr>
        <w:rPr>
          <w:rFonts w:hint="eastAsia" w:ascii="Arial" w:hAnsi="Arial" w:eastAsia="黑体"/>
          <w:b/>
          <w:sz w:val="32"/>
        </w:rPr>
        <w:sectPr>
          <w:headerReference r:id="rId3" w:type="default"/>
          <w:footerReference r:id="rId4" w:type="default"/>
          <w:pgSz w:w="11906" w:h="16838"/>
          <w:pgMar w:top="1440" w:right="1474" w:bottom="1440" w:left="1701" w:header="851" w:footer="992" w:gutter="0"/>
          <w:pgNumType w:start="1"/>
          <w:cols w:space="720" w:num="1"/>
          <w:docGrid w:type="lines" w:linePitch="312" w:charSpace="0"/>
        </w:sectPr>
      </w:pPr>
      <w:r>
        <w:rPr>
          <w:rFonts w:hint="eastAsia" w:ascii="宋体" w:hAnsi="宋体" w:cs="宋体"/>
          <w:szCs w:val="21"/>
        </w:rPr>
        <w:br w:type="page"/>
      </w:r>
      <w:r>
        <w:rPr>
          <w:rFonts w:hint="eastAsia" w:ascii="Arial" w:hAnsi="Arial" w:eastAsia="黑体"/>
          <w:b/>
          <w:sz w:val="32"/>
        </w:rPr>
        <w:t>企业营业执照副本复印件加盖公章</w:t>
      </w:r>
    </w:p>
    <w:p>
      <w:pPr>
        <w:rPr>
          <w:rFonts w:hint="eastAsia" w:ascii="Arial" w:hAnsi="Arial" w:eastAsia="黑体"/>
          <w:b/>
          <w:sz w:val="32"/>
        </w:rPr>
      </w:pPr>
      <w:r>
        <w:rPr>
          <w:rFonts w:hint="eastAsia" w:ascii="Arial" w:hAnsi="Arial" w:eastAsia="黑体"/>
          <w:b/>
          <w:sz w:val="32"/>
        </w:rPr>
        <w:t>保密承诺书（格式）加盖公章</w:t>
      </w:r>
    </w:p>
    <w:p>
      <w:pPr>
        <w:snapToGrid w:val="0"/>
        <w:spacing w:line="360" w:lineRule="auto"/>
        <w:rPr>
          <w:rFonts w:ascii="仿宋" w:hAnsi="仿宋" w:eastAsia="仿宋" w:cs="仿宋"/>
          <w:sz w:val="24"/>
        </w:rPr>
      </w:pPr>
    </w:p>
    <w:p>
      <w:pPr>
        <w:snapToGrid w:val="0"/>
        <w:rPr>
          <w:rFonts w:ascii="Arial" w:hAnsi="Arial" w:eastAsia="黑体" w:cs="Arial"/>
          <w:sz w:val="24"/>
        </w:rPr>
      </w:pPr>
      <w:r>
        <w:rPr>
          <w:rFonts w:ascii="Arial" w:hAnsi="Arial" w:eastAsia="黑体" w:cs="Arial"/>
          <w:sz w:val="24"/>
        </w:rPr>
        <w:t>甲    方：</w:t>
      </w:r>
      <w:r>
        <w:rPr>
          <w:rFonts w:hint="eastAsia" w:ascii="Arial" w:hAnsi="Arial" w:eastAsia="黑体" w:cs="Arial"/>
          <w:sz w:val="24"/>
        </w:rPr>
        <w:t>中信国际招标有限公司</w:t>
      </w:r>
    </w:p>
    <w:p>
      <w:pPr>
        <w:snapToGrid w:val="0"/>
        <w:rPr>
          <w:rFonts w:ascii="Arial" w:hAnsi="Arial" w:eastAsia="黑体" w:cs="Arial"/>
          <w:sz w:val="24"/>
        </w:rPr>
      </w:pPr>
      <w:r>
        <w:rPr>
          <w:rFonts w:ascii="Arial" w:hAnsi="Arial" w:eastAsia="黑体" w:cs="Arial"/>
          <w:sz w:val="24"/>
        </w:rPr>
        <w:t xml:space="preserve">乙    方： </w:t>
      </w:r>
    </w:p>
    <w:p>
      <w:pPr>
        <w:snapToGrid w:val="0"/>
        <w:ind w:firstLine="480" w:firstLineChars="200"/>
        <w:rPr>
          <w:rFonts w:ascii="Arial" w:hAnsi="Arial" w:eastAsia="黑体" w:cs="Arial"/>
          <w:sz w:val="24"/>
        </w:rPr>
      </w:pPr>
      <w:r>
        <w:rPr>
          <w:rFonts w:ascii="楷体_GB2312" w:hAnsi="Arial" w:eastAsia="楷体_GB2312" w:cs="Arial"/>
          <w:snapToGrid w:val="0"/>
          <w:kern w:val="0"/>
          <w:sz w:val="24"/>
        </w:rPr>
        <w:t>在</w:t>
      </w:r>
      <w:r>
        <w:rPr>
          <w:rFonts w:hint="eastAsia" w:ascii="楷体_GB2312" w:hAnsi="Arial" w:eastAsia="楷体_GB2312" w:cs="Arial"/>
          <w:snapToGrid w:val="0"/>
          <w:kern w:val="0"/>
          <w:sz w:val="24"/>
        </w:rPr>
        <w:t>中国进出口银行（以下简称“采购人”）2025年外币资金交易系统开发服务及2026-2027年巴黎分行产品许可采购项目（</w:t>
      </w:r>
      <w:r>
        <w:rPr>
          <w:rFonts w:ascii="楷体_GB2312" w:hAnsi="Arial" w:eastAsia="楷体_GB2312" w:cs="Arial"/>
          <w:snapToGrid w:val="0"/>
          <w:kern w:val="0"/>
          <w:sz w:val="24"/>
        </w:rPr>
        <w:t>采购编号为：0733-25133189</w:t>
      </w:r>
      <w:r>
        <w:rPr>
          <w:rFonts w:hint="eastAsia" w:ascii="楷体_GB2312" w:hAnsi="Arial" w:eastAsia="楷体_GB2312" w:cs="Arial"/>
          <w:snapToGrid w:val="0"/>
          <w:kern w:val="0"/>
          <w:sz w:val="24"/>
        </w:rPr>
        <w:t>）（以下简称“本项目”）</w:t>
      </w:r>
      <w:r>
        <w:rPr>
          <w:rFonts w:ascii="楷体_GB2312" w:hAnsi="Arial" w:eastAsia="楷体_GB2312" w:cs="Arial"/>
          <w:snapToGrid w:val="0"/>
          <w:kern w:val="0"/>
          <w:sz w:val="24"/>
        </w:rPr>
        <w:t>的采购活动过程中，出于采购的需要，乙方将接触或知悉甲方及采购人的</w:t>
      </w:r>
      <w:r>
        <w:rPr>
          <w:rFonts w:hint="eastAsia" w:ascii="楷体_GB2312" w:hAnsi="Arial" w:eastAsia="楷体_GB2312" w:cs="Arial"/>
          <w:snapToGrid w:val="0"/>
          <w:kern w:val="0"/>
          <w:sz w:val="24"/>
        </w:rPr>
        <w:t>保密信息</w:t>
      </w:r>
      <w:r>
        <w:rPr>
          <w:rFonts w:ascii="楷体_GB2312" w:hAnsi="Arial" w:eastAsia="楷体_GB2312" w:cs="Arial"/>
          <w:snapToGrid w:val="0"/>
          <w:kern w:val="0"/>
          <w:sz w:val="24"/>
        </w:rPr>
        <w:t>（见</w:t>
      </w:r>
      <w:r>
        <w:rPr>
          <w:rFonts w:hint="eastAsia" w:ascii="楷体_GB2312" w:hAnsi="Arial" w:eastAsia="楷体_GB2312" w:cs="Arial"/>
          <w:snapToGrid w:val="0"/>
          <w:kern w:val="0"/>
          <w:sz w:val="24"/>
        </w:rPr>
        <w:t>保密</w:t>
      </w:r>
      <w:r>
        <w:rPr>
          <w:rFonts w:ascii="楷体_GB2312" w:hAnsi="Arial" w:eastAsia="楷体_GB2312" w:cs="Arial"/>
          <w:snapToGrid w:val="0"/>
          <w:kern w:val="0"/>
          <w:sz w:val="24"/>
        </w:rPr>
        <w:t>协议第一条），内容涉及重大国防安全和商业利益。现双方就</w:t>
      </w:r>
      <w:r>
        <w:rPr>
          <w:rFonts w:hint="eastAsia" w:ascii="楷体_GB2312" w:hAnsi="Arial" w:eastAsia="楷体_GB2312" w:cs="Arial"/>
          <w:snapToGrid w:val="0"/>
          <w:kern w:val="0"/>
          <w:sz w:val="24"/>
        </w:rPr>
        <w:t>保密信息</w:t>
      </w:r>
      <w:r>
        <w:rPr>
          <w:rFonts w:ascii="楷体_GB2312" w:hAnsi="Arial" w:eastAsia="楷体_GB2312" w:cs="Arial"/>
          <w:snapToGrid w:val="0"/>
          <w:kern w:val="0"/>
          <w:sz w:val="24"/>
        </w:rPr>
        <w:t>的保密事宜签订</w:t>
      </w:r>
      <w:r>
        <w:rPr>
          <w:rFonts w:hint="eastAsia" w:ascii="楷体_GB2312" w:hAnsi="Arial" w:eastAsia="楷体_GB2312" w:cs="Arial"/>
          <w:snapToGrid w:val="0"/>
          <w:kern w:val="0"/>
          <w:sz w:val="24"/>
        </w:rPr>
        <w:t>保密</w:t>
      </w:r>
      <w:r>
        <w:rPr>
          <w:rFonts w:ascii="楷体_GB2312" w:hAnsi="Arial" w:eastAsia="楷体_GB2312" w:cs="Arial"/>
          <w:snapToGrid w:val="0"/>
          <w:kern w:val="0"/>
          <w:sz w:val="24"/>
        </w:rPr>
        <w:t>协议如下：</w:t>
      </w:r>
    </w:p>
    <w:p>
      <w:pPr>
        <w:tabs>
          <w:tab w:val="left" w:pos="3600"/>
        </w:tabs>
        <w:snapToGrid w:val="0"/>
        <w:rPr>
          <w:rFonts w:ascii="Arial" w:hAnsi="Arial" w:eastAsia="黑体" w:cs="Arial"/>
          <w:bCs/>
          <w:snapToGrid w:val="0"/>
          <w:kern w:val="0"/>
          <w:sz w:val="24"/>
        </w:rPr>
      </w:pPr>
      <w:r>
        <w:rPr>
          <w:rFonts w:ascii="Arial" w:hAnsi="Arial" w:eastAsia="黑体" w:cs="Arial"/>
          <w:bCs/>
          <w:snapToGrid w:val="0"/>
          <w:kern w:val="0"/>
          <w:sz w:val="24"/>
        </w:rPr>
        <w:t>一、保密</w:t>
      </w:r>
      <w:r>
        <w:rPr>
          <w:rFonts w:hint="eastAsia" w:ascii="Arial" w:hAnsi="Arial" w:eastAsia="黑体" w:cs="Arial"/>
          <w:bCs/>
          <w:snapToGrid w:val="0"/>
          <w:kern w:val="0"/>
          <w:sz w:val="24"/>
        </w:rPr>
        <w:t>信息</w:t>
      </w:r>
    </w:p>
    <w:p>
      <w:pPr>
        <w:tabs>
          <w:tab w:val="left" w:pos="3600"/>
        </w:tabs>
        <w:snapToGrid w:val="0"/>
        <w:rPr>
          <w:rFonts w:ascii="楷体_GB2312" w:hAnsi="Arial" w:eastAsia="楷体_GB2312" w:cs="Arial"/>
          <w:snapToGrid w:val="0"/>
          <w:kern w:val="0"/>
          <w:sz w:val="24"/>
        </w:rPr>
      </w:pPr>
      <w:r>
        <w:rPr>
          <w:rFonts w:hint="eastAsia" w:ascii="楷体_GB2312" w:hAnsi="Arial" w:eastAsia="楷体_GB2312" w:cs="Arial"/>
          <w:snapToGrid w:val="0"/>
          <w:kern w:val="0"/>
          <w:sz w:val="24"/>
        </w:rPr>
        <w:t>保密信息包括但不限于下列内容：</w:t>
      </w:r>
    </w:p>
    <w:p>
      <w:pPr>
        <w:numPr>
          <w:ilvl w:val="1"/>
          <w:numId w:val="1"/>
        </w:numPr>
        <w:tabs>
          <w:tab w:val="left" w:pos="3600"/>
        </w:tabs>
        <w:snapToGrid w:val="0"/>
        <w:rPr>
          <w:rFonts w:ascii="Arial" w:hAnsi="Arial" w:eastAsia="楷体_GB2312" w:cs="Arial"/>
          <w:snapToGrid w:val="0"/>
          <w:kern w:val="0"/>
          <w:sz w:val="24"/>
        </w:rPr>
      </w:pPr>
      <w:r>
        <w:rPr>
          <w:rFonts w:ascii="Arial" w:hAnsi="Arial" w:eastAsia="楷体_GB2312" w:cs="Arial"/>
          <w:snapToGrid w:val="0"/>
          <w:kern w:val="0"/>
          <w:sz w:val="24"/>
        </w:rPr>
        <w:t>在采购活动中的相关文件，包括但不限于采购文件、响应文件、澄清文件、图纸等；</w:t>
      </w:r>
    </w:p>
    <w:p>
      <w:pPr>
        <w:numPr>
          <w:ilvl w:val="1"/>
          <w:numId w:val="1"/>
        </w:numPr>
        <w:tabs>
          <w:tab w:val="left" w:pos="3600"/>
        </w:tabs>
        <w:snapToGrid w:val="0"/>
        <w:rPr>
          <w:rFonts w:ascii="Arial" w:hAnsi="Arial" w:eastAsia="楷体_GB2312" w:cs="Arial"/>
          <w:snapToGrid w:val="0"/>
          <w:kern w:val="0"/>
          <w:sz w:val="24"/>
        </w:rPr>
      </w:pPr>
      <w:r>
        <w:rPr>
          <w:rFonts w:ascii="Arial" w:hAnsi="Arial" w:eastAsia="楷体_GB2312" w:cs="Arial"/>
          <w:snapToGrid w:val="0"/>
          <w:kern w:val="0"/>
          <w:sz w:val="24"/>
        </w:rPr>
        <w:t>评</w:t>
      </w:r>
      <w:r>
        <w:rPr>
          <w:rFonts w:hint="eastAsia" w:ascii="Arial" w:hAnsi="Arial" w:eastAsia="楷体_GB2312" w:cs="Arial"/>
          <w:snapToGrid w:val="0"/>
          <w:kern w:val="0"/>
          <w:sz w:val="24"/>
        </w:rPr>
        <w:t>审</w:t>
      </w:r>
      <w:r>
        <w:rPr>
          <w:rFonts w:ascii="Arial" w:hAnsi="Arial" w:eastAsia="楷体_GB2312" w:cs="Arial"/>
          <w:snapToGrid w:val="0"/>
          <w:kern w:val="0"/>
          <w:sz w:val="24"/>
        </w:rPr>
        <w:t>结果；</w:t>
      </w:r>
    </w:p>
    <w:p>
      <w:pPr>
        <w:numPr>
          <w:ilvl w:val="1"/>
          <w:numId w:val="1"/>
        </w:numPr>
        <w:tabs>
          <w:tab w:val="left" w:pos="3600"/>
        </w:tabs>
        <w:snapToGrid w:val="0"/>
        <w:rPr>
          <w:rFonts w:ascii="Arial" w:hAnsi="Arial" w:eastAsia="楷体_GB2312" w:cs="Arial"/>
          <w:snapToGrid w:val="0"/>
          <w:kern w:val="0"/>
          <w:sz w:val="24"/>
        </w:rPr>
      </w:pPr>
      <w:r>
        <w:rPr>
          <w:rFonts w:ascii="Arial" w:hAnsi="Arial" w:eastAsia="楷体_GB2312" w:cs="Arial"/>
          <w:snapToGrid w:val="0"/>
          <w:kern w:val="0"/>
          <w:sz w:val="24"/>
        </w:rPr>
        <w:t>在采购及合同谈判签订、履行过程中所知悉的各种甲方及采购人尚未公开的信息；</w:t>
      </w:r>
    </w:p>
    <w:p>
      <w:pPr>
        <w:numPr>
          <w:ilvl w:val="1"/>
          <w:numId w:val="1"/>
        </w:numPr>
        <w:tabs>
          <w:tab w:val="left" w:pos="3600"/>
        </w:tabs>
        <w:snapToGrid w:val="0"/>
        <w:rPr>
          <w:rFonts w:ascii="Arial" w:hAnsi="Arial" w:eastAsia="楷体_GB2312" w:cs="Arial"/>
          <w:snapToGrid w:val="0"/>
          <w:kern w:val="0"/>
          <w:sz w:val="24"/>
        </w:rPr>
      </w:pPr>
      <w:r>
        <w:rPr>
          <w:rFonts w:ascii="Arial" w:hAnsi="Arial" w:eastAsia="楷体_GB2312" w:cs="Arial"/>
          <w:snapToGrid w:val="0"/>
          <w:kern w:val="0"/>
          <w:sz w:val="24"/>
        </w:rPr>
        <w:t>除上述三项外，乙方在本次采购中，从甲方及</w:t>
      </w:r>
      <w:r>
        <w:rPr>
          <w:rFonts w:hint="eastAsia" w:ascii="Arial" w:hAnsi="Arial" w:eastAsia="楷体_GB2312" w:cs="Arial"/>
          <w:snapToGrid w:val="0"/>
          <w:kern w:val="0"/>
          <w:sz w:val="24"/>
        </w:rPr>
        <w:t>采购人</w:t>
      </w:r>
      <w:r>
        <w:rPr>
          <w:rFonts w:ascii="Arial" w:hAnsi="Arial" w:eastAsia="楷体_GB2312" w:cs="Arial"/>
          <w:snapToGrid w:val="0"/>
          <w:kern w:val="0"/>
          <w:sz w:val="24"/>
        </w:rPr>
        <w:t>获得的尚未公开的所有商务文件、技术文件、协议、议案和资料。</w:t>
      </w:r>
    </w:p>
    <w:p>
      <w:pPr>
        <w:tabs>
          <w:tab w:val="left" w:pos="3600"/>
        </w:tabs>
        <w:snapToGrid w:val="0"/>
        <w:rPr>
          <w:rFonts w:ascii="Arial" w:hAnsi="Arial" w:eastAsia="黑体" w:cs="Arial"/>
          <w:bCs/>
          <w:snapToGrid w:val="0"/>
          <w:kern w:val="0"/>
          <w:sz w:val="24"/>
        </w:rPr>
      </w:pPr>
      <w:r>
        <w:rPr>
          <w:rFonts w:ascii="Arial" w:hAnsi="Arial" w:eastAsia="黑体" w:cs="Arial"/>
          <w:bCs/>
          <w:snapToGrid w:val="0"/>
          <w:kern w:val="0"/>
          <w:sz w:val="24"/>
        </w:rPr>
        <w:t>二、</w:t>
      </w:r>
      <w:r>
        <w:rPr>
          <w:rFonts w:hint="eastAsia" w:ascii="Arial" w:hAnsi="Arial" w:eastAsia="黑体" w:cs="Arial"/>
          <w:bCs/>
          <w:snapToGrid w:val="0"/>
          <w:kern w:val="0"/>
          <w:sz w:val="24"/>
        </w:rPr>
        <w:t>保密信息</w:t>
      </w:r>
      <w:r>
        <w:rPr>
          <w:rFonts w:ascii="Arial" w:hAnsi="Arial" w:eastAsia="黑体" w:cs="Arial"/>
          <w:bCs/>
          <w:snapToGrid w:val="0"/>
          <w:kern w:val="0"/>
          <w:sz w:val="24"/>
        </w:rPr>
        <w:t>的存在形式</w:t>
      </w:r>
    </w:p>
    <w:p>
      <w:pPr>
        <w:tabs>
          <w:tab w:val="left" w:pos="3600"/>
        </w:tabs>
        <w:snapToGrid w:val="0"/>
        <w:ind w:firstLine="480" w:firstLineChars="200"/>
        <w:rPr>
          <w:rFonts w:ascii="Arial" w:hAnsi="Arial" w:eastAsia="楷体_GB2312" w:cs="Arial"/>
          <w:snapToGrid w:val="0"/>
          <w:kern w:val="0"/>
          <w:sz w:val="24"/>
        </w:rPr>
      </w:pPr>
      <w:r>
        <w:rPr>
          <w:rFonts w:hint="eastAsia" w:ascii="Arial" w:hAnsi="Arial" w:eastAsia="楷体_GB2312" w:cs="Arial"/>
          <w:snapToGrid w:val="0"/>
          <w:kern w:val="0"/>
          <w:sz w:val="24"/>
        </w:rPr>
        <w:t>保密信息可以是</w:t>
      </w:r>
      <w:r>
        <w:rPr>
          <w:rFonts w:ascii="Arial" w:hAnsi="Arial" w:eastAsia="楷体_GB2312" w:cs="Arial"/>
          <w:snapToGrid w:val="0"/>
          <w:kern w:val="0"/>
          <w:sz w:val="24"/>
        </w:rPr>
        <w:t>文字资料、电子文件、图形或实物（包括但不限于样品、模型及其它形式的材料）等载体，以及不</w:t>
      </w:r>
      <w:r>
        <w:rPr>
          <w:rFonts w:hint="eastAsia" w:ascii="Arial" w:hAnsi="Arial" w:eastAsia="楷体_GB2312" w:cs="Arial"/>
          <w:snapToGrid w:val="0"/>
          <w:kern w:val="0"/>
          <w:sz w:val="24"/>
        </w:rPr>
        <w:t>以</w:t>
      </w:r>
      <w:r>
        <w:rPr>
          <w:rFonts w:ascii="Arial" w:hAnsi="Arial" w:eastAsia="楷体_GB2312" w:cs="Arial"/>
          <w:snapToGrid w:val="0"/>
          <w:kern w:val="0"/>
          <w:sz w:val="24"/>
        </w:rPr>
        <w:t>物质载体形式存在的信息。</w:t>
      </w:r>
    </w:p>
    <w:p>
      <w:pPr>
        <w:tabs>
          <w:tab w:val="left" w:pos="3600"/>
        </w:tabs>
        <w:snapToGrid w:val="0"/>
        <w:rPr>
          <w:rFonts w:ascii="Arial" w:hAnsi="Arial" w:eastAsia="黑体" w:cs="Arial"/>
          <w:snapToGrid w:val="0"/>
          <w:kern w:val="0"/>
          <w:sz w:val="24"/>
        </w:rPr>
      </w:pPr>
      <w:r>
        <w:rPr>
          <w:rFonts w:ascii="Arial" w:hAnsi="Arial" w:eastAsia="黑体" w:cs="Arial"/>
          <w:bCs/>
          <w:snapToGrid w:val="0"/>
          <w:kern w:val="0"/>
          <w:sz w:val="24"/>
        </w:rPr>
        <w:t>三、双方的权利和义务</w:t>
      </w:r>
    </w:p>
    <w:p>
      <w:pPr>
        <w:numPr>
          <w:ilvl w:val="0"/>
          <w:numId w:val="2"/>
        </w:numPr>
        <w:snapToGrid w:val="0"/>
        <w:rPr>
          <w:rFonts w:ascii="Arial" w:hAnsi="Arial" w:eastAsia="楷体_GB2312" w:cs="Arial"/>
          <w:snapToGrid w:val="0"/>
          <w:kern w:val="0"/>
          <w:sz w:val="24"/>
        </w:rPr>
      </w:pPr>
      <w:r>
        <w:rPr>
          <w:rFonts w:ascii="Arial" w:hAnsi="Arial" w:eastAsia="楷体_GB2312" w:cs="Arial"/>
          <w:snapToGrid w:val="0"/>
          <w:kern w:val="0"/>
          <w:sz w:val="24"/>
        </w:rPr>
        <w:t>保密</w:t>
      </w:r>
      <w:r>
        <w:rPr>
          <w:rFonts w:hint="eastAsia" w:ascii="Arial" w:hAnsi="Arial" w:eastAsia="楷体_GB2312" w:cs="Arial"/>
          <w:snapToGrid w:val="0"/>
          <w:kern w:val="0"/>
          <w:sz w:val="24"/>
        </w:rPr>
        <w:t>信息</w:t>
      </w:r>
      <w:r>
        <w:rPr>
          <w:rFonts w:ascii="Arial" w:hAnsi="Arial" w:eastAsia="楷体_GB2312" w:cs="Arial"/>
          <w:snapToGrid w:val="0"/>
          <w:kern w:val="0"/>
          <w:sz w:val="24"/>
        </w:rPr>
        <w:t>的所有权及知识产权始终归属提供或披露保密</w:t>
      </w:r>
      <w:r>
        <w:rPr>
          <w:rFonts w:hint="eastAsia" w:ascii="Arial" w:hAnsi="Arial" w:eastAsia="楷体_GB2312" w:cs="Arial"/>
          <w:snapToGrid w:val="0"/>
          <w:kern w:val="0"/>
          <w:sz w:val="24"/>
        </w:rPr>
        <w:t>信息</w:t>
      </w:r>
      <w:r>
        <w:rPr>
          <w:rFonts w:ascii="Arial" w:hAnsi="Arial" w:eastAsia="楷体_GB2312" w:cs="Arial"/>
          <w:snapToGrid w:val="0"/>
          <w:kern w:val="0"/>
          <w:sz w:val="24"/>
        </w:rPr>
        <w:t>的甲方或采购人；</w:t>
      </w:r>
    </w:p>
    <w:p>
      <w:pPr>
        <w:numPr>
          <w:ilvl w:val="0"/>
          <w:numId w:val="2"/>
        </w:numPr>
        <w:snapToGrid w:val="0"/>
        <w:rPr>
          <w:rFonts w:ascii="Arial" w:hAnsi="Arial" w:eastAsia="楷体_GB2312" w:cs="Arial"/>
          <w:snapToGrid w:val="0"/>
          <w:kern w:val="0"/>
          <w:sz w:val="24"/>
        </w:rPr>
      </w:pPr>
      <w:r>
        <w:rPr>
          <w:rFonts w:ascii="Arial" w:hAnsi="Arial" w:eastAsia="楷体_GB2312" w:cs="Arial"/>
          <w:snapToGrid w:val="0"/>
          <w:kern w:val="0"/>
          <w:sz w:val="24"/>
        </w:rPr>
        <w:t>知悉范围要求：只限于乙方从事</w:t>
      </w:r>
      <w:r>
        <w:rPr>
          <w:rFonts w:hint="eastAsia" w:ascii="Arial" w:hAnsi="Arial" w:eastAsia="楷体_GB2312" w:cs="Arial"/>
          <w:snapToGrid w:val="0"/>
          <w:kern w:val="0"/>
          <w:sz w:val="24"/>
        </w:rPr>
        <w:t>本</w:t>
      </w:r>
      <w:r>
        <w:rPr>
          <w:rFonts w:ascii="Arial" w:hAnsi="Arial" w:eastAsia="楷体_GB2312" w:cs="Arial"/>
          <w:snapToGrid w:val="0"/>
          <w:kern w:val="0"/>
          <w:sz w:val="24"/>
        </w:rPr>
        <w:t>项目（合同）的特定人员，未经甲方及采购人的书面同意，乙方不得擅自扩大知悉范围。同时，乙方不得以任何形式或方式向甲方探询本项目及以外的其他涉密信息。</w:t>
      </w:r>
    </w:p>
    <w:p>
      <w:pPr>
        <w:numPr>
          <w:ilvl w:val="0"/>
          <w:numId w:val="2"/>
        </w:numPr>
        <w:snapToGrid w:val="0"/>
        <w:rPr>
          <w:rFonts w:ascii="Arial" w:hAnsi="Arial" w:eastAsia="楷体_GB2312" w:cs="Arial"/>
          <w:snapToGrid w:val="0"/>
          <w:kern w:val="0"/>
          <w:sz w:val="24"/>
        </w:rPr>
      </w:pPr>
      <w:r>
        <w:rPr>
          <w:rFonts w:ascii="Arial" w:hAnsi="Arial" w:eastAsia="楷体_GB2312" w:cs="Arial"/>
          <w:snapToGrid w:val="0"/>
          <w:kern w:val="0"/>
          <w:sz w:val="24"/>
        </w:rPr>
        <w:t>乙方在</w:t>
      </w:r>
      <w:r>
        <w:rPr>
          <w:rFonts w:hint="eastAsia" w:ascii="Arial" w:hAnsi="Arial" w:eastAsia="楷体_GB2312" w:cs="Arial"/>
          <w:snapToGrid w:val="0"/>
          <w:kern w:val="0"/>
          <w:sz w:val="24"/>
        </w:rPr>
        <w:t>本</w:t>
      </w:r>
      <w:r>
        <w:rPr>
          <w:rFonts w:ascii="Arial" w:hAnsi="Arial" w:eastAsia="楷体_GB2312" w:cs="Arial"/>
          <w:snapToGrid w:val="0"/>
          <w:kern w:val="0"/>
          <w:sz w:val="24"/>
        </w:rPr>
        <w:t>项目协作期间，不得以任何方式在单位内部或向外界宣传、报道涉及甲方提供的</w:t>
      </w:r>
      <w:r>
        <w:rPr>
          <w:rFonts w:hint="eastAsia" w:ascii="Arial" w:hAnsi="Arial" w:eastAsia="楷体_GB2312" w:cs="Arial"/>
          <w:snapToGrid w:val="0"/>
          <w:kern w:val="0"/>
          <w:sz w:val="24"/>
        </w:rPr>
        <w:t>本</w:t>
      </w:r>
      <w:r>
        <w:rPr>
          <w:rFonts w:ascii="Arial" w:hAnsi="Arial" w:eastAsia="楷体_GB2312" w:cs="Arial"/>
          <w:snapToGrid w:val="0"/>
          <w:kern w:val="0"/>
          <w:sz w:val="24"/>
        </w:rPr>
        <w:t>项目研制、生产等相关信息；严禁将甲方提供的用于</w:t>
      </w:r>
      <w:r>
        <w:rPr>
          <w:rFonts w:hint="eastAsia" w:ascii="Arial" w:hAnsi="Arial" w:eastAsia="楷体_GB2312" w:cs="Arial"/>
          <w:snapToGrid w:val="0"/>
          <w:kern w:val="0"/>
          <w:sz w:val="24"/>
        </w:rPr>
        <w:t>本</w:t>
      </w:r>
      <w:r>
        <w:rPr>
          <w:rFonts w:ascii="Arial" w:hAnsi="Arial" w:eastAsia="楷体_GB2312" w:cs="Arial"/>
          <w:snapToGrid w:val="0"/>
          <w:kern w:val="0"/>
          <w:sz w:val="24"/>
        </w:rPr>
        <w:t>项目的各种文件、技术资料、图纸（磁介质、纸介质）、图片、影像资料等向第三方转让或传播。</w:t>
      </w:r>
    </w:p>
    <w:p>
      <w:pPr>
        <w:numPr>
          <w:ilvl w:val="0"/>
          <w:numId w:val="2"/>
        </w:numPr>
        <w:snapToGrid w:val="0"/>
        <w:rPr>
          <w:rFonts w:ascii="Arial" w:hAnsi="Arial" w:eastAsia="楷体_GB2312" w:cs="Arial"/>
          <w:snapToGrid w:val="0"/>
          <w:kern w:val="0"/>
          <w:sz w:val="24"/>
        </w:rPr>
      </w:pPr>
      <w:r>
        <w:rPr>
          <w:rFonts w:ascii="Arial" w:hAnsi="Arial" w:eastAsia="楷体_GB2312" w:cs="Arial"/>
          <w:snapToGrid w:val="0"/>
          <w:kern w:val="0"/>
          <w:sz w:val="24"/>
        </w:rPr>
        <w:t>乙方在遵守</w:t>
      </w:r>
      <w:r>
        <w:rPr>
          <w:rFonts w:hint="eastAsia" w:ascii="Arial" w:hAnsi="Arial" w:eastAsia="楷体_GB2312" w:cs="Arial"/>
          <w:snapToGrid w:val="0"/>
          <w:kern w:val="0"/>
          <w:sz w:val="24"/>
        </w:rPr>
        <w:t>保密承诺书</w:t>
      </w:r>
      <w:r>
        <w:rPr>
          <w:rFonts w:ascii="Arial" w:hAnsi="Arial" w:eastAsia="楷体_GB2312" w:cs="Arial"/>
          <w:snapToGrid w:val="0"/>
          <w:kern w:val="0"/>
          <w:sz w:val="24"/>
        </w:rPr>
        <w:t>的前提下，可以将从甲方获得的</w:t>
      </w:r>
      <w:r>
        <w:rPr>
          <w:rFonts w:hint="eastAsia" w:ascii="Arial" w:hAnsi="Arial" w:eastAsia="楷体_GB2312" w:cs="Arial"/>
          <w:snapToGrid w:val="0"/>
          <w:kern w:val="0"/>
          <w:sz w:val="24"/>
        </w:rPr>
        <w:t>保密信息</w:t>
      </w:r>
      <w:r>
        <w:rPr>
          <w:rFonts w:ascii="Arial" w:hAnsi="Arial" w:eastAsia="楷体_GB2312" w:cs="Arial"/>
          <w:snapToGrid w:val="0"/>
          <w:kern w:val="0"/>
          <w:sz w:val="24"/>
        </w:rPr>
        <w:t>提供给承担本项目工作的人</w:t>
      </w:r>
      <w:r>
        <w:rPr>
          <w:rFonts w:hint="eastAsia" w:ascii="Arial" w:hAnsi="Arial" w:eastAsia="楷体_GB2312" w:cs="Arial"/>
          <w:snapToGrid w:val="0"/>
          <w:kern w:val="0"/>
          <w:sz w:val="24"/>
        </w:rPr>
        <w:t>员</w:t>
      </w:r>
      <w:r>
        <w:rPr>
          <w:rFonts w:ascii="Arial" w:hAnsi="Arial" w:eastAsia="楷体_GB2312" w:cs="Arial"/>
          <w:snapToGrid w:val="0"/>
          <w:kern w:val="0"/>
          <w:sz w:val="24"/>
        </w:rPr>
        <w:t>，因</w:t>
      </w:r>
      <w:r>
        <w:rPr>
          <w:rFonts w:hint="eastAsia" w:ascii="Arial" w:hAnsi="Arial" w:eastAsia="楷体_GB2312" w:cs="Arial"/>
          <w:snapToGrid w:val="0"/>
          <w:kern w:val="0"/>
          <w:sz w:val="24"/>
        </w:rPr>
        <w:t>本</w:t>
      </w:r>
      <w:r>
        <w:rPr>
          <w:rFonts w:ascii="Arial" w:hAnsi="Arial" w:eastAsia="楷体_GB2312" w:cs="Arial"/>
          <w:snapToGrid w:val="0"/>
          <w:kern w:val="0"/>
          <w:sz w:val="24"/>
        </w:rPr>
        <w:t>项目工作原因需提供给乙方自己的合作、顾问等相关人员或机构前应取得甲方</w:t>
      </w:r>
      <w:r>
        <w:rPr>
          <w:rFonts w:hint="eastAsia" w:ascii="Arial" w:hAnsi="Arial" w:eastAsia="楷体_GB2312" w:cs="Arial"/>
          <w:snapToGrid w:val="0"/>
          <w:kern w:val="0"/>
          <w:sz w:val="24"/>
        </w:rPr>
        <w:t>书面</w:t>
      </w:r>
      <w:r>
        <w:rPr>
          <w:rFonts w:ascii="Arial" w:hAnsi="Arial" w:eastAsia="楷体_GB2312" w:cs="Arial"/>
          <w:snapToGrid w:val="0"/>
          <w:kern w:val="0"/>
          <w:sz w:val="24"/>
        </w:rPr>
        <w:t>同意，并确保上述人员或机构遵守保密</w:t>
      </w:r>
      <w:r>
        <w:rPr>
          <w:rFonts w:hint="eastAsia" w:ascii="Arial" w:hAnsi="Arial" w:eastAsia="楷体_GB2312" w:cs="Arial"/>
          <w:snapToGrid w:val="0"/>
          <w:kern w:val="0"/>
          <w:sz w:val="24"/>
        </w:rPr>
        <w:t>承诺书</w:t>
      </w:r>
      <w:r>
        <w:rPr>
          <w:rFonts w:ascii="Arial" w:hAnsi="Arial" w:eastAsia="楷体_GB2312" w:cs="Arial"/>
          <w:snapToGrid w:val="0"/>
          <w:kern w:val="0"/>
          <w:sz w:val="24"/>
        </w:rPr>
        <w:t>的规定；</w:t>
      </w:r>
    </w:p>
    <w:p>
      <w:pPr>
        <w:numPr>
          <w:ilvl w:val="0"/>
          <w:numId w:val="2"/>
        </w:numPr>
        <w:snapToGrid w:val="0"/>
        <w:rPr>
          <w:rFonts w:ascii="Arial" w:hAnsi="Arial" w:eastAsia="楷体_GB2312" w:cs="Arial"/>
          <w:snapToGrid w:val="0"/>
          <w:kern w:val="0"/>
          <w:sz w:val="24"/>
        </w:rPr>
      </w:pPr>
      <w:r>
        <w:rPr>
          <w:rFonts w:ascii="Arial" w:hAnsi="Arial" w:eastAsia="楷体_GB2312" w:cs="Arial"/>
          <w:snapToGrid w:val="0"/>
          <w:kern w:val="0"/>
          <w:sz w:val="24"/>
        </w:rPr>
        <w:t>在</w:t>
      </w:r>
      <w:r>
        <w:rPr>
          <w:rFonts w:hint="eastAsia" w:ascii="Arial" w:hAnsi="Arial" w:eastAsia="楷体_GB2312" w:cs="Arial"/>
          <w:snapToGrid w:val="0"/>
          <w:kern w:val="0"/>
          <w:sz w:val="24"/>
        </w:rPr>
        <w:t>本</w:t>
      </w:r>
      <w:r>
        <w:rPr>
          <w:rFonts w:ascii="Arial" w:hAnsi="Arial" w:eastAsia="楷体_GB2312" w:cs="Arial"/>
          <w:snapToGrid w:val="0"/>
          <w:kern w:val="0"/>
          <w:sz w:val="24"/>
        </w:rPr>
        <w:t>项目执行中，甲方有权对乙方执行保密协议的情况进行监督和检查，对不符合保密</w:t>
      </w:r>
      <w:r>
        <w:rPr>
          <w:rFonts w:hint="eastAsia" w:ascii="Arial" w:hAnsi="Arial" w:eastAsia="楷体_GB2312" w:cs="Arial"/>
          <w:snapToGrid w:val="0"/>
          <w:kern w:val="0"/>
          <w:sz w:val="24"/>
        </w:rPr>
        <w:t>承诺书</w:t>
      </w:r>
      <w:r>
        <w:rPr>
          <w:rFonts w:ascii="Arial" w:hAnsi="Arial" w:eastAsia="楷体_GB2312" w:cs="Arial"/>
          <w:snapToGrid w:val="0"/>
          <w:kern w:val="0"/>
          <w:sz w:val="24"/>
        </w:rPr>
        <w:t>的事项，乙方应及时纠正或进行查处，不得拖延。</w:t>
      </w:r>
    </w:p>
    <w:p>
      <w:pPr>
        <w:tabs>
          <w:tab w:val="left" w:pos="3600"/>
        </w:tabs>
        <w:snapToGrid w:val="0"/>
        <w:rPr>
          <w:rFonts w:ascii="Arial" w:hAnsi="Arial" w:eastAsia="黑体" w:cs="Arial"/>
          <w:bCs/>
          <w:snapToGrid w:val="0"/>
          <w:kern w:val="0"/>
          <w:sz w:val="24"/>
        </w:rPr>
      </w:pPr>
      <w:r>
        <w:rPr>
          <w:rFonts w:ascii="Arial" w:hAnsi="Arial" w:eastAsia="黑体" w:cs="Arial"/>
          <w:bCs/>
          <w:snapToGrid w:val="0"/>
          <w:kern w:val="0"/>
          <w:sz w:val="24"/>
        </w:rPr>
        <w:t>四、保密</w:t>
      </w:r>
      <w:r>
        <w:rPr>
          <w:rFonts w:hint="eastAsia" w:ascii="Arial" w:hAnsi="Arial" w:eastAsia="黑体" w:cs="Arial"/>
          <w:bCs/>
          <w:snapToGrid w:val="0"/>
          <w:kern w:val="0"/>
          <w:sz w:val="24"/>
        </w:rPr>
        <w:t>期间</w:t>
      </w:r>
    </w:p>
    <w:p>
      <w:pPr>
        <w:snapToGrid w:val="0"/>
        <w:ind w:firstLine="480" w:firstLineChars="200"/>
        <w:rPr>
          <w:rFonts w:ascii="Arial" w:hAnsi="Arial" w:eastAsia="楷体_GB2312" w:cs="Arial"/>
          <w:snapToGrid w:val="0"/>
          <w:kern w:val="0"/>
          <w:sz w:val="24"/>
        </w:rPr>
      </w:pPr>
      <w:r>
        <w:rPr>
          <w:rFonts w:hint="eastAsia" w:ascii="Arial" w:hAnsi="Arial" w:eastAsia="楷体_GB2312" w:cs="Arial"/>
          <w:snapToGrid w:val="0"/>
          <w:kern w:val="0"/>
          <w:sz w:val="24"/>
        </w:rPr>
        <w:t>保密</w:t>
      </w:r>
      <w:r>
        <w:rPr>
          <w:rFonts w:ascii="Arial" w:hAnsi="Arial" w:eastAsia="楷体_GB2312" w:cs="Arial"/>
          <w:snapToGrid w:val="0"/>
          <w:kern w:val="0"/>
          <w:sz w:val="24"/>
        </w:rPr>
        <w:t>协议生效</w:t>
      </w:r>
      <w:r>
        <w:rPr>
          <w:rFonts w:hint="eastAsia" w:ascii="Arial" w:hAnsi="Arial" w:eastAsia="楷体_GB2312" w:cs="Arial"/>
          <w:snapToGrid w:val="0"/>
          <w:kern w:val="0"/>
          <w:sz w:val="24"/>
        </w:rPr>
        <w:t>日</w:t>
      </w:r>
      <w:r>
        <w:rPr>
          <w:rFonts w:ascii="Arial" w:hAnsi="Arial" w:eastAsia="楷体_GB2312" w:cs="Arial"/>
          <w:snapToGrid w:val="0"/>
          <w:kern w:val="0"/>
          <w:sz w:val="24"/>
        </w:rPr>
        <w:t>起至本项目</w:t>
      </w:r>
      <w:r>
        <w:rPr>
          <w:rFonts w:hint="eastAsia" w:ascii="Arial" w:hAnsi="Arial" w:eastAsia="楷体_GB2312" w:cs="Arial"/>
          <w:snapToGrid w:val="0"/>
          <w:kern w:val="0"/>
          <w:sz w:val="24"/>
        </w:rPr>
        <w:t>竣工验收之日</w:t>
      </w:r>
      <w:r>
        <w:rPr>
          <w:rFonts w:ascii="Arial" w:hAnsi="Arial" w:eastAsia="楷体_GB2312" w:cs="Arial"/>
          <w:snapToGrid w:val="0"/>
          <w:kern w:val="0"/>
          <w:sz w:val="24"/>
        </w:rPr>
        <w:t>后</w:t>
      </w:r>
      <w:r>
        <w:rPr>
          <w:rFonts w:hint="eastAsia" w:ascii="Arial" w:hAnsi="Arial" w:eastAsia="楷体_GB2312" w:cs="Arial"/>
          <w:snapToGrid w:val="0"/>
          <w:kern w:val="0"/>
          <w:sz w:val="24"/>
        </w:rPr>
        <w:t>10</w:t>
      </w:r>
      <w:r>
        <w:rPr>
          <w:rFonts w:ascii="Arial" w:hAnsi="Arial" w:eastAsia="楷体_GB2312" w:cs="Arial"/>
          <w:snapToGrid w:val="0"/>
          <w:kern w:val="0"/>
          <w:sz w:val="24"/>
        </w:rPr>
        <w:t>年为止。</w:t>
      </w:r>
    </w:p>
    <w:p>
      <w:pPr>
        <w:snapToGrid w:val="0"/>
        <w:rPr>
          <w:rFonts w:ascii="Arial" w:hAnsi="Arial" w:eastAsia="黑体" w:cs="Arial"/>
          <w:bCs/>
          <w:snapToGrid w:val="0"/>
          <w:kern w:val="0"/>
          <w:sz w:val="24"/>
        </w:rPr>
      </w:pPr>
      <w:r>
        <w:rPr>
          <w:rFonts w:ascii="Arial" w:hAnsi="Arial" w:eastAsia="黑体" w:cs="Arial"/>
          <w:snapToGrid w:val="0"/>
          <w:kern w:val="0"/>
          <w:sz w:val="24"/>
        </w:rPr>
        <w:t>五、</w:t>
      </w:r>
      <w:r>
        <w:rPr>
          <w:rFonts w:ascii="Arial" w:hAnsi="Arial" w:eastAsia="黑体" w:cs="Arial"/>
          <w:bCs/>
          <w:snapToGrid w:val="0"/>
          <w:kern w:val="0"/>
          <w:sz w:val="24"/>
        </w:rPr>
        <w:t>违约责任</w:t>
      </w:r>
    </w:p>
    <w:p>
      <w:pPr>
        <w:snapToGrid w:val="0"/>
        <w:ind w:firstLine="480" w:firstLineChars="200"/>
        <w:rPr>
          <w:rFonts w:ascii="Arial" w:hAnsi="Arial" w:eastAsia="楷体_GB2312" w:cs="Arial"/>
          <w:snapToGrid w:val="0"/>
          <w:kern w:val="0"/>
          <w:sz w:val="24"/>
        </w:rPr>
      </w:pPr>
      <w:r>
        <w:rPr>
          <w:rFonts w:ascii="Arial" w:hAnsi="Arial" w:eastAsia="楷体_GB2312" w:cs="Arial"/>
          <w:snapToGrid w:val="0"/>
          <w:kern w:val="0"/>
          <w:sz w:val="24"/>
        </w:rPr>
        <w:t>在保密期间，由于乙方原因造成失泄密事件（案件）发生的，将由乙方承担法律责任。甲方及采购人有权随时终止乙方响应资格，剥夺乙方签约资格，或解除合同；给甲方及采购人造成经济损失的，由乙方承担赔偿责任。</w:t>
      </w:r>
    </w:p>
    <w:p>
      <w:pPr>
        <w:snapToGrid w:val="0"/>
        <w:ind w:firstLine="480" w:firstLineChars="200"/>
        <w:rPr>
          <w:rFonts w:ascii="Arial" w:hAnsi="Arial" w:eastAsia="楷体_GB2312" w:cs="Arial"/>
          <w:snapToGrid w:val="0"/>
          <w:kern w:val="0"/>
          <w:sz w:val="24"/>
        </w:rPr>
      </w:pPr>
      <w:r>
        <w:rPr>
          <w:rFonts w:ascii="Arial" w:hAnsi="Arial" w:eastAsia="楷体_GB2312" w:cs="Arial"/>
          <w:snapToGrid w:val="0"/>
          <w:kern w:val="0"/>
          <w:sz w:val="24"/>
        </w:rPr>
        <w:t>乙方违约泄密，除赔偿甲方及采购人因被侵害而受到的实际损失外，还应承担甲方及采购人因调查该项侵害行为及维护自身合法权益所支付的合理费用。</w:t>
      </w:r>
    </w:p>
    <w:p>
      <w:pPr>
        <w:tabs>
          <w:tab w:val="left" w:pos="3600"/>
        </w:tabs>
        <w:snapToGrid w:val="0"/>
        <w:rPr>
          <w:rFonts w:ascii="Arial" w:hAnsi="Arial" w:eastAsia="黑体" w:cs="Arial"/>
          <w:bCs/>
          <w:snapToGrid w:val="0"/>
          <w:kern w:val="0"/>
          <w:sz w:val="24"/>
        </w:rPr>
      </w:pPr>
      <w:r>
        <w:rPr>
          <w:rFonts w:ascii="Arial" w:hAnsi="Arial" w:eastAsia="黑体" w:cs="Arial"/>
          <w:bCs/>
          <w:snapToGrid w:val="0"/>
          <w:kern w:val="0"/>
          <w:sz w:val="24"/>
        </w:rPr>
        <w:t>六、争议的解决方式</w:t>
      </w:r>
    </w:p>
    <w:p>
      <w:pPr>
        <w:snapToGrid w:val="0"/>
        <w:ind w:firstLine="480" w:firstLineChars="200"/>
        <w:rPr>
          <w:rFonts w:ascii="Arial" w:hAnsi="Arial" w:eastAsia="楷体_GB2312" w:cs="Arial"/>
          <w:snapToGrid w:val="0"/>
          <w:kern w:val="0"/>
          <w:sz w:val="24"/>
        </w:rPr>
      </w:pPr>
      <w:r>
        <w:rPr>
          <w:rFonts w:ascii="Arial" w:hAnsi="Arial" w:eastAsia="楷体_GB2312" w:cs="Arial"/>
          <w:snapToGrid w:val="0"/>
          <w:kern w:val="0"/>
          <w:sz w:val="24"/>
        </w:rPr>
        <w:t>双方同意因</w:t>
      </w:r>
      <w:r>
        <w:rPr>
          <w:rFonts w:hint="eastAsia" w:ascii="Arial" w:hAnsi="Arial" w:eastAsia="楷体_GB2312" w:cs="Arial"/>
          <w:snapToGrid w:val="0"/>
          <w:kern w:val="0"/>
          <w:sz w:val="24"/>
        </w:rPr>
        <w:t>保密</w:t>
      </w:r>
      <w:r>
        <w:rPr>
          <w:rFonts w:ascii="Arial" w:hAnsi="Arial" w:eastAsia="楷体_GB2312" w:cs="Arial"/>
          <w:snapToGrid w:val="0"/>
          <w:kern w:val="0"/>
          <w:sz w:val="24"/>
        </w:rPr>
        <w:t>协议</w:t>
      </w:r>
      <w:r>
        <w:rPr>
          <w:rFonts w:hint="eastAsia" w:ascii="Arial" w:hAnsi="Arial" w:eastAsia="楷体_GB2312" w:cs="Arial"/>
          <w:snapToGrid w:val="0"/>
          <w:kern w:val="0"/>
          <w:sz w:val="24"/>
        </w:rPr>
        <w:t>引起</w:t>
      </w:r>
      <w:r>
        <w:rPr>
          <w:rFonts w:ascii="Arial" w:hAnsi="Arial" w:eastAsia="楷体_GB2312" w:cs="Arial"/>
          <w:snapToGrid w:val="0"/>
          <w:kern w:val="0"/>
          <w:sz w:val="24"/>
        </w:rPr>
        <w:t>的</w:t>
      </w:r>
      <w:r>
        <w:rPr>
          <w:rFonts w:hint="eastAsia" w:ascii="Arial" w:hAnsi="Arial" w:eastAsia="楷体_GB2312" w:cs="Arial"/>
          <w:snapToGrid w:val="0"/>
          <w:kern w:val="0"/>
          <w:sz w:val="24"/>
        </w:rPr>
        <w:t>任何</w:t>
      </w:r>
      <w:r>
        <w:rPr>
          <w:rFonts w:ascii="Arial" w:hAnsi="Arial" w:eastAsia="楷体_GB2312" w:cs="Arial"/>
          <w:snapToGrid w:val="0"/>
          <w:kern w:val="0"/>
          <w:sz w:val="24"/>
        </w:rPr>
        <w:t>争议，由双方协商解决，协商解决不成的，任何一方均可诉诸甲方所在地的人民法院诉讼解决。</w:t>
      </w:r>
    </w:p>
    <w:p>
      <w:pPr>
        <w:tabs>
          <w:tab w:val="left" w:pos="3600"/>
        </w:tabs>
        <w:snapToGrid w:val="0"/>
        <w:rPr>
          <w:rFonts w:ascii="Arial" w:hAnsi="Arial" w:eastAsia="黑体" w:cs="Arial"/>
          <w:bCs/>
          <w:snapToGrid w:val="0"/>
          <w:kern w:val="0"/>
          <w:sz w:val="24"/>
        </w:rPr>
      </w:pPr>
      <w:r>
        <w:rPr>
          <w:rFonts w:ascii="Arial" w:hAnsi="Arial" w:eastAsia="黑体" w:cs="Arial"/>
          <w:bCs/>
          <w:snapToGrid w:val="0"/>
          <w:kern w:val="0"/>
          <w:sz w:val="24"/>
        </w:rPr>
        <w:t>七、其它</w:t>
      </w:r>
    </w:p>
    <w:p>
      <w:pPr>
        <w:tabs>
          <w:tab w:val="left" w:pos="3600"/>
        </w:tabs>
        <w:snapToGrid w:val="0"/>
        <w:ind w:firstLine="480" w:firstLineChars="200"/>
        <w:rPr>
          <w:rFonts w:ascii="Arial" w:hAnsi="Arial" w:eastAsia="楷体_GB2312" w:cs="Arial"/>
          <w:snapToGrid w:val="0"/>
          <w:kern w:val="0"/>
          <w:sz w:val="24"/>
        </w:rPr>
      </w:pPr>
      <w:r>
        <w:rPr>
          <w:rFonts w:hint="eastAsia" w:ascii="Arial" w:hAnsi="Arial" w:eastAsia="楷体_GB2312" w:cs="Arial"/>
          <w:sz w:val="24"/>
        </w:rPr>
        <w:t>保密</w:t>
      </w:r>
      <w:r>
        <w:rPr>
          <w:rFonts w:ascii="Arial" w:hAnsi="Arial" w:eastAsia="楷体_GB2312" w:cs="Arial"/>
          <w:sz w:val="24"/>
        </w:rPr>
        <w:t>协议由</w:t>
      </w:r>
      <w:r>
        <w:rPr>
          <w:rFonts w:hint="eastAsia" w:ascii="Arial" w:hAnsi="Arial" w:eastAsia="楷体_GB2312" w:cs="Arial"/>
          <w:sz w:val="24"/>
        </w:rPr>
        <w:t>乙</w:t>
      </w:r>
      <w:r>
        <w:rPr>
          <w:rFonts w:ascii="Arial" w:hAnsi="Arial" w:eastAsia="楷体_GB2312" w:cs="Arial"/>
          <w:sz w:val="24"/>
        </w:rPr>
        <w:t>方盖章后</w:t>
      </w:r>
      <w:r>
        <w:rPr>
          <w:rFonts w:hint="eastAsia" w:ascii="Arial" w:hAnsi="Arial" w:eastAsia="楷体_GB2312" w:cs="Arial"/>
          <w:sz w:val="24"/>
        </w:rPr>
        <w:t>（中国境外单位可为授权人签字）</w:t>
      </w:r>
      <w:r>
        <w:rPr>
          <w:rFonts w:ascii="Arial" w:hAnsi="Arial" w:eastAsia="楷体_GB2312" w:cs="Arial"/>
          <w:sz w:val="24"/>
        </w:rPr>
        <w:t>生效</w:t>
      </w:r>
      <w:r>
        <w:rPr>
          <w:rFonts w:hint="eastAsia" w:ascii="Arial" w:hAnsi="Arial" w:eastAsia="楷体_GB2312" w:cs="Arial"/>
          <w:sz w:val="24"/>
        </w:rPr>
        <w:t>（生效日）</w:t>
      </w:r>
      <w:r>
        <w:rPr>
          <w:rFonts w:ascii="Arial" w:hAnsi="Arial" w:eastAsia="楷体_GB2312" w:cs="Arial"/>
          <w:sz w:val="24"/>
        </w:rPr>
        <w:t>。</w:t>
      </w:r>
      <w:r>
        <w:rPr>
          <w:rFonts w:hint="eastAsia" w:ascii="Arial" w:hAnsi="Arial" w:eastAsia="楷体_GB2312" w:cs="Arial"/>
          <w:sz w:val="24"/>
        </w:rPr>
        <w:t>保密</w:t>
      </w:r>
      <w:r>
        <w:rPr>
          <w:rFonts w:ascii="Arial" w:hAnsi="Arial" w:eastAsia="楷体_GB2312" w:cs="Arial"/>
          <w:sz w:val="24"/>
        </w:rPr>
        <w:t>协议的权利义务结束后即自动失效</w:t>
      </w:r>
      <w:r>
        <w:rPr>
          <w:rFonts w:ascii="Arial" w:hAnsi="Arial" w:eastAsia="楷体_GB2312" w:cs="Arial"/>
          <w:snapToGrid w:val="0"/>
          <w:kern w:val="0"/>
          <w:sz w:val="24"/>
        </w:rPr>
        <w:t>。</w:t>
      </w:r>
      <w:r>
        <w:rPr>
          <w:rFonts w:hint="eastAsia" w:ascii="Arial" w:hAnsi="Arial" w:eastAsia="楷体_GB2312" w:cs="Arial"/>
          <w:snapToGrid w:val="0"/>
          <w:kern w:val="0"/>
          <w:sz w:val="24"/>
        </w:rPr>
        <w:t>保密</w:t>
      </w:r>
      <w:r>
        <w:rPr>
          <w:rFonts w:ascii="Arial" w:hAnsi="Arial" w:eastAsia="楷体_GB2312" w:cs="Arial"/>
          <w:snapToGrid w:val="0"/>
          <w:kern w:val="0"/>
          <w:sz w:val="24"/>
        </w:rPr>
        <w:t>协议</w:t>
      </w:r>
      <w:r>
        <w:rPr>
          <w:rFonts w:hint="eastAsia" w:ascii="Arial" w:hAnsi="Arial" w:eastAsia="楷体_GB2312" w:cs="Arial"/>
          <w:snapToGrid w:val="0"/>
          <w:kern w:val="0"/>
          <w:sz w:val="24"/>
        </w:rPr>
        <w:t>正本壹份</w:t>
      </w:r>
      <w:r>
        <w:rPr>
          <w:rFonts w:ascii="Arial" w:hAnsi="Arial" w:eastAsia="楷体_GB2312" w:cs="Arial"/>
          <w:snapToGrid w:val="0"/>
          <w:kern w:val="0"/>
          <w:sz w:val="24"/>
        </w:rPr>
        <w:t>，</w:t>
      </w:r>
      <w:r>
        <w:rPr>
          <w:rFonts w:hint="eastAsia" w:ascii="Arial" w:hAnsi="Arial" w:eastAsia="楷体_GB2312" w:cs="Arial"/>
          <w:snapToGrid w:val="0"/>
          <w:kern w:val="0"/>
          <w:sz w:val="24"/>
        </w:rPr>
        <w:t>由甲方留存</w:t>
      </w:r>
      <w:r>
        <w:rPr>
          <w:rFonts w:ascii="Arial" w:hAnsi="Arial" w:eastAsia="楷体_GB2312" w:cs="Arial"/>
          <w:snapToGrid w:val="0"/>
          <w:kern w:val="0"/>
          <w:sz w:val="24"/>
        </w:rPr>
        <w:t>。</w:t>
      </w:r>
    </w:p>
    <w:p>
      <w:pPr>
        <w:pStyle w:val="2"/>
        <w:ind w:firstLine="480"/>
      </w:pPr>
    </w:p>
    <w:tbl>
      <w:tblPr>
        <w:tblStyle w:val="12"/>
        <w:tblW w:w="0" w:type="auto"/>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5210"/>
        <w:gridCol w:w="5210"/>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69" w:hRule="atLeast"/>
        </w:trPr>
        <w:tc>
          <w:tcPr>
            <w:tcW w:w="5210" w:type="dxa"/>
            <w:noWrap w:val="0"/>
            <w:vAlign w:val="top"/>
          </w:tcPr>
          <w:p>
            <w:pPr>
              <w:rPr>
                <w:rFonts w:ascii="Arial" w:hAnsi="Arial" w:cs="Arial"/>
              </w:rPr>
            </w:pPr>
            <w:r>
              <w:rPr>
                <w:rFonts w:hint="eastAsia" w:ascii="Arial" w:hAnsi="Arial" w:eastAsia="楷体_GB2312" w:cs="Arial"/>
                <w:sz w:val="24"/>
              </w:rPr>
              <w:t xml:space="preserve">       </w:t>
            </w:r>
          </w:p>
        </w:tc>
        <w:tc>
          <w:tcPr>
            <w:tcW w:w="5210" w:type="dxa"/>
            <w:noWrap w:val="0"/>
            <w:vAlign w:val="top"/>
          </w:tcPr>
          <w:p>
            <w:pPr>
              <w:snapToGrid w:val="0"/>
              <w:rPr>
                <w:rFonts w:ascii="Arial" w:hAnsi="Arial" w:eastAsia="黑体" w:cs="Arial"/>
                <w:sz w:val="24"/>
              </w:rPr>
            </w:pPr>
            <w:r>
              <w:rPr>
                <w:rFonts w:ascii="Arial" w:hAnsi="Arial" w:eastAsia="黑体" w:cs="Arial"/>
                <w:sz w:val="24"/>
              </w:rPr>
              <w:t xml:space="preserve">乙方： </w:t>
            </w:r>
          </w:p>
          <w:p>
            <w:pPr>
              <w:snapToGrid w:val="0"/>
              <w:rPr>
                <w:rFonts w:ascii="Arial" w:hAnsi="Arial" w:eastAsia="黑体" w:cs="Arial"/>
                <w:sz w:val="24"/>
              </w:rPr>
            </w:pPr>
            <w:r>
              <w:rPr>
                <w:rFonts w:ascii="Arial" w:hAnsi="Arial" w:eastAsia="黑体" w:cs="Arial"/>
                <w:sz w:val="24"/>
              </w:rPr>
              <w:t>日期：</w:t>
            </w:r>
            <w:r>
              <w:rPr>
                <w:rFonts w:hint="eastAsia" w:ascii="Arial" w:hAnsi="Arial" w:eastAsia="黑体" w:cs="Arial"/>
                <w:sz w:val="24"/>
              </w:rPr>
              <w:t>2025</w:t>
            </w:r>
            <w:r>
              <w:rPr>
                <w:rFonts w:ascii="Arial" w:hAnsi="Arial" w:eastAsia="黑体" w:cs="Arial"/>
                <w:sz w:val="24"/>
              </w:rPr>
              <w:t>年 月</w:t>
            </w:r>
            <w:r>
              <w:rPr>
                <w:rFonts w:hint="eastAsia" w:ascii="Arial" w:hAnsi="Arial" w:eastAsia="黑体" w:cs="Arial"/>
                <w:sz w:val="24"/>
              </w:rPr>
              <w:t xml:space="preserve">  </w:t>
            </w:r>
            <w:r>
              <w:rPr>
                <w:rFonts w:ascii="Arial" w:hAnsi="Arial" w:eastAsia="黑体" w:cs="Arial"/>
                <w:sz w:val="24"/>
              </w:rPr>
              <w:t>日</w:t>
            </w:r>
          </w:p>
          <w:p>
            <w:pPr>
              <w:rPr>
                <w:rFonts w:ascii="Arial" w:hAnsi="Arial" w:cs="Arial"/>
              </w:rPr>
            </w:pPr>
            <w:r>
              <w:rPr>
                <w:rFonts w:hint="eastAsia" w:ascii="Arial" w:hAnsi="Arial" w:eastAsia="楷体_GB2312" w:cs="Arial"/>
                <w:sz w:val="24"/>
              </w:rPr>
              <w:t xml:space="preserve">     </w:t>
            </w:r>
            <w:r>
              <w:rPr>
                <w:rFonts w:ascii="Arial" w:hAnsi="Arial" w:eastAsia="楷体_GB2312" w:cs="Arial"/>
                <w:sz w:val="24"/>
              </w:rPr>
              <w:t>（盖章）</w:t>
            </w:r>
          </w:p>
        </w:tc>
      </w:tr>
    </w:tbl>
    <w:p>
      <w:pPr>
        <w:spacing w:line="360" w:lineRule="auto"/>
        <w:rPr>
          <w:rFonts w:ascii="仿宋" w:hAnsi="仿宋" w:eastAsia="仿宋" w:cs="仿宋"/>
          <w:sz w:val="24"/>
          <w:u w:val="single"/>
        </w:rPr>
      </w:pPr>
    </w:p>
    <w:p>
      <w:pPr>
        <w:spacing w:line="360" w:lineRule="auto"/>
        <w:rPr>
          <w:rFonts w:ascii="仿宋" w:hAnsi="仿宋" w:eastAsia="仿宋" w:cs="仿宋"/>
        </w:rPr>
        <w:sectPr>
          <w:pgSz w:w="11906" w:h="16838"/>
          <w:pgMar w:top="1440" w:right="1800" w:bottom="1440" w:left="1800" w:header="851" w:footer="992" w:gutter="0"/>
          <w:cols w:space="720" w:num="1"/>
          <w:docGrid w:type="lines" w:linePitch="312" w:charSpace="0"/>
        </w:sectPr>
      </w:pPr>
    </w:p>
    <w:p>
      <w:pPr>
        <w:rPr>
          <w:rFonts w:ascii="Arial" w:hAnsi="Arial" w:eastAsia="黑体"/>
          <w:b/>
          <w:sz w:val="32"/>
        </w:rPr>
      </w:pPr>
      <w:r>
        <w:rPr>
          <w:rFonts w:hint="eastAsia" w:ascii="Arial" w:hAnsi="Arial" w:eastAsia="黑体"/>
          <w:b/>
          <w:sz w:val="32"/>
        </w:rPr>
        <w:t>公司介绍加盖公章</w:t>
      </w:r>
    </w:p>
    <w:p>
      <w:pPr>
        <w:pStyle w:val="2"/>
        <w:ind w:left="0" w:leftChars="0" w:firstLine="0" w:firstLineChars="0"/>
        <w:rPr>
          <w:rFonts w:hAnsi="宋体" w:cs="Arial"/>
        </w:rPr>
      </w:pPr>
      <w:r>
        <w:br w:type="page"/>
      </w:r>
      <w:r>
        <w:rPr>
          <w:rFonts w:hint="eastAsia" w:hAnsi="宋体" w:cs="Arial"/>
        </w:rPr>
        <w:t>附件：项目需求</w:t>
      </w:r>
    </w:p>
    <w:p>
      <w:pPr>
        <w:pStyle w:val="11"/>
        <w:adjustRightInd w:val="0"/>
        <w:spacing w:before="0" w:after="0" w:line="360" w:lineRule="auto"/>
        <w:ind w:firstLine="480" w:firstLineChars="200"/>
        <w:jc w:val="both"/>
        <w:textAlignment w:val="baseline"/>
        <w:rPr>
          <w:rFonts w:hint="eastAsia" w:ascii="宋体" w:hAnsi="宋体"/>
          <w:b w:val="0"/>
          <w:bCs w:val="0"/>
          <w:sz w:val="24"/>
          <w:szCs w:val="24"/>
        </w:rPr>
      </w:pPr>
      <w:bookmarkStart w:id="0" w:name="_Toc12976"/>
      <w:r>
        <w:rPr>
          <w:rFonts w:ascii="宋体" w:hAnsi="宋体"/>
          <w:b w:val="0"/>
          <w:bCs w:val="0"/>
          <w:sz w:val="24"/>
          <w:szCs w:val="24"/>
        </w:rPr>
        <w:t>一、项目介绍</w:t>
      </w:r>
      <w:bookmarkEnd w:id="0"/>
    </w:p>
    <w:p>
      <w:pPr>
        <w:pStyle w:val="11"/>
        <w:adjustRightInd w:val="0"/>
        <w:spacing w:before="0" w:after="0" w:line="360" w:lineRule="auto"/>
        <w:ind w:firstLine="480" w:firstLineChars="200"/>
        <w:jc w:val="both"/>
        <w:textAlignment w:val="baseline"/>
        <w:rPr>
          <w:rFonts w:hint="eastAsia" w:ascii="宋体" w:hAnsi="宋体"/>
          <w:b w:val="0"/>
          <w:bCs w:val="0"/>
          <w:sz w:val="24"/>
          <w:szCs w:val="24"/>
        </w:rPr>
      </w:pPr>
      <w:bookmarkStart w:id="1" w:name="_Toc20375"/>
      <w:bookmarkStart w:id="2" w:name="_Toc14418"/>
      <w:r>
        <w:rPr>
          <w:rFonts w:hint="eastAsia" w:ascii="宋体" w:hAnsi="宋体"/>
          <w:b w:val="0"/>
          <w:bCs w:val="0"/>
          <w:sz w:val="24"/>
          <w:szCs w:val="24"/>
        </w:rPr>
        <w:t>（一）</w:t>
      </w:r>
      <w:r>
        <w:rPr>
          <w:rFonts w:ascii="宋体" w:hAnsi="宋体"/>
          <w:b w:val="0"/>
          <w:bCs w:val="0"/>
          <w:sz w:val="24"/>
          <w:szCs w:val="24"/>
        </w:rPr>
        <w:t>项目背景概述：</w:t>
      </w:r>
    </w:p>
    <w:p>
      <w:pPr>
        <w:spacing w:line="360" w:lineRule="auto"/>
        <w:ind w:firstLine="480" w:firstLineChars="200"/>
        <w:rPr>
          <w:rFonts w:hint="eastAsia" w:ascii="宋体" w:hAnsi="宋体" w:cs="仿宋_GB2312"/>
          <w:sz w:val="24"/>
        </w:rPr>
      </w:pPr>
      <w:r>
        <w:rPr>
          <w:rFonts w:hint="eastAsia" w:ascii="宋体" w:hAnsi="宋体" w:cs="仿宋_GB2312"/>
          <w:sz w:val="24"/>
        </w:rPr>
        <w:t>采购人现有外币资金交易系统基于飞思创科技（北京）有限公司（以下简称飞思创公司）KONDOR+产品开发建设，2006年投产上线，涵盖前台、中台及后台功能,支持汇率、利率、衍生品、债券等外汇交易品种，提供交易簿记和管理、交易清算结算、后台会计处理等功能。目前使用范围为总行和巴黎分行。</w:t>
      </w:r>
    </w:p>
    <w:p>
      <w:pPr>
        <w:spacing w:line="360" w:lineRule="auto"/>
        <w:ind w:firstLine="480" w:firstLineChars="200"/>
        <w:rPr>
          <w:rFonts w:hint="eastAsia" w:ascii="宋体" w:hAnsi="宋体" w:cs="仿宋_GB2312"/>
          <w:sz w:val="24"/>
        </w:rPr>
      </w:pPr>
      <w:r>
        <w:rPr>
          <w:rFonts w:hint="eastAsia" w:ascii="宋体" w:hAnsi="宋体" w:cs="仿宋_GB2312"/>
          <w:sz w:val="24"/>
        </w:rPr>
        <w:t>该系统已使用近二十年，产品技术架构和应用架构较为老旧，飞思创公司对大陆地区的支持力度逐渐减弱，目前北京华胜天成科技股份有限公司（以下简称华胜天成公司）是其在中国大陆地区唯一授权的KONDOR+软件经销商和服务厂商。为更好地支持采购人外汇资金业务长期、稳健的发展，同时满足信息技术应用创新改造要求，根据行内工作安排，已启动新外币资金交易系统建设项目。为保证新系统替换顺利实施，需要采购现有系统开发服务保证过渡期安全稳定运行，主要工作内容有：新老系统数据迁移工作；新增紧急业务需求实施；二级运维服务，保证修数、取数、事件处理时效性，及时修复系统故障。</w:t>
      </w:r>
    </w:p>
    <w:p>
      <w:pPr>
        <w:spacing w:line="360" w:lineRule="auto"/>
        <w:ind w:firstLine="480" w:firstLineChars="200"/>
        <w:rPr>
          <w:rFonts w:hint="eastAsia" w:ascii="宋体" w:hAnsi="宋体" w:cs="仿宋_GB2312"/>
          <w:sz w:val="24"/>
        </w:rPr>
      </w:pPr>
      <w:r>
        <w:rPr>
          <w:rFonts w:hint="eastAsia" w:ascii="宋体" w:hAnsi="宋体" w:cs="仿宋_GB2312"/>
          <w:sz w:val="24"/>
        </w:rPr>
        <w:t>另外，总行为KONDOR+软件产品永久使用许可，巴黎分行上期采购2年期KONDOR+软件产品使用许可，巴黎分行软件产品使用许可到期时间为2026年5月20日。综合考虑新外币资金交易系统的建设规划，目前需要续购1</w:t>
      </w:r>
      <w:r>
        <w:rPr>
          <w:rFonts w:ascii="宋体" w:hAnsi="宋体" w:cs="仿宋_GB2312"/>
          <w:sz w:val="24"/>
        </w:rPr>
        <w:t>8</w:t>
      </w:r>
      <w:r>
        <w:rPr>
          <w:rFonts w:hint="eastAsia" w:ascii="宋体" w:hAnsi="宋体" w:cs="仿宋_GB2312"/>
          <w:sz w:val="24"/>
        </w:rPr>
        <w:t>个月巴黎分行KONDOR+软件产品使用许可。</w:t>
      </w:r>
    </w:p>
    <w:p>
      <w:pPr>
        <w:spacing w:line="360" w:lineRule="auto"/>
        <w:ind w:firstLine="480" w:firstLineChars="200"/>
        <w:rPr>
          <w:rFonts w:hint="eastAsia" w:ascii="宋体" w:hAnsi="宋体" w:cs="仿宋_GB2312"/>
          <w:sz w:val="24"/>
        </w:rPr>
      </w:pPr>
      <w:r>
        <w:rPr>
          <w:rFonts w:hint="eastAsia" w:ascii="宋体" w:hAnsi="宋体" w:cs="仿宋_GB2312"/>
          <w:sz w:val="24"/>
        </w:rPr>
        <w:t>该项目为延续性项目。</w:t>
      </w:r>
    </w:p>
    <w:p>
      <w:pPr>
        <w:pStyle w:val="11"/>
        <w:adjustRightInd w:val="0"/>
        <w:spacing w:before="0" w:after="0" w:line="360" w:lineRule="auto"/>
        <w:ind w:firstLine="480" w:firstLineChars="200"/>
        <w:jc w:val="both"/>
        <w:textAlignment w:val="baseline"/>
        <w:rPr>
          <w:rFonts w:hint="eastAsia" w:ascii="宋体" w:hAnsi="宋体"/>
          <w:b w:val="0"/>
          <w:bCs w:val="0"/>
          <w:sz w:val="24"/>
          <w:szCs w:val="24"/>
        </w:rPr>
      </w:pPr>
      <w:r>
        <w:rPr>
          <w:rFonts w:hint="eastAsia" w:ascii="宋体" w:hAnsi="宋体"/>
          <w:b w:val="0"/>
          <w:bCs w:val="0"/>
          <w:sz w:val="24"/>
          <w:szCs w:val="24"/>
        </w:rPr>
        <w:t>（二）</w:t>
      </w:r>
      <w:r>
        <w:rPr>
          <w:rFonts w:ascii="宋体" w:hAnsi="宋体"/>
          <w:b w:val="0"/>
          <w:bCs w:val="0"/>
          <w:sz w:val="24"/>
          <w:szCs w:val="24"/>
        </w:rPr>
        <w:t>功能或目标：</w:t>
      </w:r>
    </w:p>
    <w:p>
      <w:pPr>
        <w:spacing w:line="360" w:lineRule="auto"/>
        <w:ind w:firstLine="480" w:firstLineChars="200"/>
        <w:rPr>
          <w:rFonts w:hint="eastAsia" w:ascii="宋体" w:hAnsi="宋体"/>
          <w:sz w:val="24"/>
        </w:rPr>
      </w:pPr>
      <w:r>
        <w:rPr>
          <w:rFonts w:hint="eastAsia" w:ascii="宋体" w:hAnsi="宋体" w:cs="仿宋_GB2312"/>
          <w:sz w:val="24"/>
        </w:rPr>
        <w:t>本项目工作内容主要包括以下方面：</w:t>
      </w:r>
    </w:p>
    <w:p>
      <w:pPr>
        <w:spacing w:line="360" w:lineRule="auto"/>
        <w:ind w:firstLine="480" w:firstLineChars="200"/>
        <w:rPr>
          <w:rFonts w:hint="eastAsia" w:ascii="宋体" w:hAnsi="宋体" w:cs="仿宋_GB2312"/>
          <w:sz w:val="24"/>
        </w:rPr>
      </w:pPr>
      <w:r>
        <w:rPr>
          <w:rFonts w:ascii="宋体" w:hAnsi="宋体" w:cs="仿宋_GB2312"/>
          <w:sz w:val="24"/>
        </w:rPr>
        <w:t>1.数据迁移服务，实施内容包括按照指定格式提供数据迁出服务、根据采购人需要配合提供字段及数据解释工作、确认映射规则及加工逻辑等迁移相关技术支持工作。</w:t>
      </w:r>
    </w:p>
    <w:p>
      <w:pPr>
        <w:spacing w:line="360" w:lineRule="auto"/>
        <w:ind w:firstLine="480" w:firstLineChars="200"/>
        <w:rPr>
          <w:rFonts w:hint="eastAsia" w:ascii="宋体" w:hAnsi="宋体" w:cs="仿宋_GB2312"/>
          <w:sz w:val="24"/>
        </w:rPr>
      </w:pPr>
      <w:r>
        <w:rPr>
          <w:rFonts w:ascii="宋体" w:hAnsi="宋体" w:cs="仿宋_GB2312"/>
          <w:sz w:val="24"/>
        </w:rPr>
        <w:t>2.支持新增紧急业务需求的评估分析、系统开发、测试验收、投产上线等工作。</w:t>
      </w:r>
    </w:p>
    <w:p>
      <w:pPr>
        <w:spacing w:line="360" w:lineRule="auto"/>
        <w:ind w:firstLine="480" w:firstLineChars="200"/>
        <w:rPr>
          <w:rFonts w:hint="eastAsia" w:ascii="宋体" w:hAnsi="宋体" w:cs="仿宋_GB2312"/>
          <w:sz w:val="24"/>
        </w:rPr>
      </w:pPr>
      <w:r>
        <w:rPr>
          <w:rFonts w:hint="eastAsia" w:ascii="宋体" w:hAnsi="宋体" w:cs="仿宋_GB2312"/>
          <w:sz w:val="24"/>
        </w:rPr>
        <w:t>3.</w:t>
      </w:r>
      <w:r>
        <w:rPr>
          <w:rFonts w:ascii="宋体" w:hAnsi="宋体" w:cs="仿宋_GB2312"/>
          <w:sz w:val="24"/>
        </w:rPr>
        <w:t>总行及巴黎分行二级运维服务，包括总行及巴黎分行外币资金交易系统业务咨询、日常维护、工单处理、故障分析与修复、软件产品升级、安全漏洞升级修复等工作</w:t>
      </w:r>
      <w:r>
        <w:rPr>
          <w:rFonts w:hint="eastAsia" w:ascii="宋体" w:hAnsi="宋体" w:cs="仿宋_GB2312"/>
          <w:sz w:val="24"/>
        </w:rPr>
        <w:t>。</w:t>
      </w:r>
    </w:p>
    <w:p>
      <w:pPr>
        <w:spacing w:line="360" w:lineRule="auto"/>
        <w:ind w:firstLine="480" w:firstLineChars="200"/>
        <w:rPr>
          <w:rFonts w:hint="eastAsia" w:ascii="宋体" w:hAnsi="宋体" w:cs="仿宋_GB2312"/>
          <w:sz w:val="24"/>
          <w:highlight w:val="yellow"/>
        </w:rPr>
      </w:pPr>
      <w:r>
        <w:rPr>
          <w:rFonts w:hint="eastAsia" w:ascii="宋体" w:hAnsi="宋体" w:cs="仿宋_GB2312"/>
          <w:sz w:val="24"/>
        </w:rPr>
        <w:t>4.巴黎分行外币资金交易系统</w:t>
      </w:r>
      <w:r>
        <w:rPr>
          <w:rFonts w:ascii="宋体" w:hAnsi="宋体" w:cs="仿宋_GB2312"/>
          <w:sz w:val="24"/>
        </w:rPr>
        <w:t>KONDOR</w:t>
      </w:r>
      <w:r>
        <w:rPr>
          <w:rFonts w:hint="eastAsia" w:ascii="宋体" w:hAnsi="宋体" w:cs="仿宋_GB2312"/>
          <w:sz w:val="24"/>
        </w:rPr>
        <w:t>+软件产品使用许可1</w:t>
      </w:r>
      <w:r>
        <w:rPr>
          <w:rFonts w:ascii="宋体" w:hAnsi="宋体" w:cs="仿宋_GB2312"/>
          <w:sz w:val="24"/>
        </w:rPr>
        <w:t>8</w:t>
      </w:r>
      <w:r>
        <w:rPr>
          <w:rFonts w:hint="eastAsia" w:ascii="宋体" w:hAnsi="宋体" w:cs="仿宋_GB2312"/>
          <w:sz w:val="24"/>
        </w:rPr>
        <w:t>个月。</w:t>
      </w:r>
    </w:p>
    <w:p>
      <w:pPr>
        <w:pStyle w:val="11"/>
        <w:adjustRightInd w:val="0"/>
        <w:spacing w:before="0" w:after="0" w:line="360" w:lineRule="auto"/>
        <w:ind w:firstLine="480" w:firstLineChars="200"/>
        <w:jc w:val="both"/>
        <w:textAlignment w:val="baseline"/>
        <w:rPr>
          <w:rFonts w:hint="eastAsia" w:ascii="宋体" w:hAnsi="宋体"/>
          <w:b w:val="0"/>
          <w:bCs w:val="0"/>
          <w:sz w:val="24"/>
          <w:szCs w:val="24"/>
        </w:rPr>
      </w:pPr>
      <w:r>
        <w:rPr>
          <w:rFonts w:hint="eastAsia" w:ascii="宋体" w:hAnsi="宋体"/>
          <w:b w:val="0"/>
          <w:bCs w:val="0"/>
          <w:sz w:val="24"/>
          <w:szCs w:val="24"/>
        </w:rPr>
        <w:t>（三）本项目存在难点</w:t>
      </w:r>
    </w:p>
    <w:p>
      <w:pPr>
        <w:spacing w:line="360" w:lineRule="auto"/>
        <w:ind w:firstLine="480" w:firstLineChars="200"/>
        <w:rPr>
          <w:rFonts w:hint="eastAsia" w:ascii="宋体" w:hAnsi="宋体"/>
          <w:sz w:val="24"/>
        </w:rPr>
      </w:pPr>
      <w:r>
        <w:rPr>
          <w:rFonts w:hint="eastAsia" w:ascii="宋体" w:hAnsi="宋体" w:cs="仿宋_GB2312"/>
          <w:sz w:val="24"/>
        </w:rPr>
        <w:t>甲方</w:t>
      </w:r>
      <w:r>
        <w:rPr>
          <w:rFonts w:hint="eastAsia" w:ascii="宋体" w:hAnsi="宋体"/>
          <w:bCs/>
          <w:sz w:val="24"/>
        </w:rPr>
        <w:t>目前拥有外币资金交易系统客户化软件及核心产品软件系统中客户化部分的目标程序及全部源代码、原厂商不提供核心产品软件的源代码，本项目需依托原系统平台及行内整体系统架构进行二次开发。</w:t>
      </w:r>
    </w:p>
    <w:p>
      <w:pPr>
        <w:spacing w:line="360" w:lineRule="auto"/>
        <w:ind w:firstLine="480" w:firstLineChars="200"/>
        <w:rPr>
          <w:rFonts w:hint="eastAsia" w:ascii="宋体" w:hAnsi="宋体" w:cs="仿宋_GB2312"/>
          <w:sz w:val="24"/>
        </w:rPr>
      </w:pPr>
      <w:r>
        <w:rPr>
          <w:rFonts w:hint="eastAsia" w:ascii="宋体" w:hAnsi="宋体" w:cs="仿宋_GB2312"/>
          <w:sz w:val="24"/>
        </w:rPr>
        <w:t>（四）源代码要求。</w:t>
      </w:r>
    </w:p>
    <w:p>
      <w:pPr>
        <w:pStyle w:val="6"/>
        <w:spacing w:before="0" w:after="0" w:line="360" w:lineRule="auto"/>
        <w:ind w:firstLine="480" w:firstLineChars="200"/>
        <w:rPr>
          <w:rFonts w:hint="eastAsia" w:ascii="宋体" w:hAnsi="宋体" w:eastAsia="宋体" w:cs="仿宋_GB2312"/>
          <w:sz w:val="24"/>
          <w:szCs w:val="24"/>
        </w:rPr>
      </w:pPr>
      <w:r>
        <w:rPr>
          <w:rFonts w:hint="eastAsia" w:ascii="宋体" w:hAnsi="宋体" w:eastAsia="宋体" w:cs="仿宋_GB2312"/>
          <w:sz w:val="24"/>
          <w:szCs w:val="24"/>
        </w:rPr>
        <w:t>1.外币资金交易系统中客户化部分的目标程序及全部源代码；</w:t>
      </w:r>
    </w:p>
    <w:p>
      <w:pPr>
        <w:pStyle w:val="5"/>
        <w:spacing w:before="0" w:beforeAutospacing="0" w:after="0" w:afterAutospacing="0" w:line="360" w:lineRule="auto"/>
        <w:ind w:firstLine="480"/>
        <w:rPr>
          <w:rFonts w:hint="eastAsia" w:ascii="宋体" w:hAnsi="宋体" w:cs="仿宋_GB2312"/>
          <w:sz w:val="24"/>
        </w:rPr>
      </w:pPr>
      <w:r>
        <w:rPr>
          <w:rFonts w:hint="eastAsia" w:ascii="宋体" w:hAnsi="宋体" w:cs="仿宋_GB2312"/>
          <w:sz w:val="24"/>
        </w:rPr>
        <w:t>2.核心产品软件的目标程序，开发接口及操作文档等资料。</w:t>
      </w:r>
    </w:p>
    <w:bookmarkEnd w:id="1"/>
    <w:p>
      <w:pPr>
        <w:pStyle w:val="11"/>
        <w:adjustRightInd w:val="0"/>
        <w:spacing w:before="0" w:after="0" w:line="360" w:lineRule="auto"/>
        <w:ind w:firstLine="480" w:firstLineChars="200"/>
        <w:jc w:val="both"/>
        <w:textAlignment w:val="baseline"/>
        <w:rPr>
          <w:rFonts w:hint="eastAsia" w:ascii="宋体" w:hAnsi="宋体"/>
          <w:b w:val="0"/>
          <w:bCs w:val="0"/>
          <w:sz w:val="24"/>
          <w:szCs w:val="24"/>
        </w:rPr>
      </w:pPr>
      <w:bookmarkStart w:id="3" w:name="_Toc13552"/>
      <w:r>
        <w:rPr>
          <w:rFonts w:ascii="宋体" w:hAnsi="宋体"/>
          <w:b w:val="0"/>
          <w:bCs w:val="0"/>
          <w:sz w:val="24"/>
          <w:szCs w:val="24"/>
        </w:rPr>
        <w:t>二、</w:t>
      </w:r>
      <w:bookmarkEnd w:id="2"/>
      <w:r>
        <w:rPr>
          <w:rFonts w:ascii="宋体" w:hAnsi="宋体"/>
          <w:b w:val="0"/>
          <w:bCs w:val="0"/>
          <w:sz w:val="24"/>
          <w:szCs w:val="24"/>
        </w:rPr>
        <w:t>服务一览表</w:t>
      </w:r>
      <w:bookmarkEnd w:id="3"/>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365"/>
        <w:gridCol w:w="2644"/>
        <w:gridCol w:w="1210"/>
        <w:gridCol w:w="2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56" w:type="pct"/>
            <w:tcBorders>
              <w:top w:val="single" w:color="auto" w:sz="4" w:space="0"/>
              <w:left w:val="single" w:color="auto" w:sz="4" w:space="0"/>
              <w:right w:val="single" w:color="auto" w:sz="4" w:space="0"/>
            </w:tcBorders>
            <w:shd w:val="clear" w:color="auto" w:fill="BFBFBF"/>
            <w:noWrap w:val="0"/>
            <w:vAlign w:val="center"/>
          </w:tcPr>
          <w:p>
            <w:pPr>
              <w:jc w:val="center"/>
              <w:rPr>
                <w:rFonts w:hint="eastAsia" w:ascii="宋体" w:hAnsi="宋体"/>
                <w:b/>
                <w:bCs/>
                <w:sz w:val="24"/>
              </w:rPr>
            </w:pPr>
            <w:r>
              <w:rPr>
                <w:rFonts w:ascii="宋体" w:hAnsi="宋体"/>
                <w:b/>
                <w:bCs/>
                <w:sz w:val="24"/>
              </w:rPr>
              <w:t>序号</w:t>
            </w:r>
          </w:p>
        </w:tc>
        <w:tc>
          <w:tcPr>
            <w:tcW w:w="801" w:type="pct"/>
            <w:tcBorders>
              <w:top w:val="single" w:color="auto" w:sz="4" w:space="0"/>
              <w:left w:val="single" w:color="auto" w:sz="4" w:space="0"/>
              <w:right w:val="single" w:color="auto" w:sz="4" w:space="0"/>
            </w:tcBorders>
            <w:shd w:val="clear" w:color="auto" w:fill="BFBFBF"/>
            <w:noWrap w:val="0"/>
            <w:vAlign w:val="center"/>
          </w:tcPr>
          <w:p>
            <w:pPr>
              <w:jc w:val="center"/>
              <w:rPr>
                <w:rFonts w:hint="eastAsia" w:ascii="宋体" w:hAnsi="宋体"/>
                <w:b/>
                <w:bCs/>
                <w:sz w:val="24"/>
              </w:rPr>
            </w:pPr>
            <w:r>
              <w:rPr>
                <w:rFonts w:ascii="宋体" w:hAnsi="宋体"/>
                <w:b/>
                <w:bCs/>
                <w:sz w:val="24"/>
              </w:rPr>
              <w:t>服务名称</w:t>
            </w:r>
          </w:p>
        </w:tc>
        <w:tc>
          <w:tcPr>
            <w:tcW w:w="1551" w:type="pct"/>
            <w:tcBorders>
              <w:top w:val="single" w:color="auto" w:sz="4" w:space="0"/>
              <w:left w:val="single" w:color="auto" w:sz="4" w:space="0"/>
              <w:right w:val="single" w:color="auto" w:sz="4" w:space="0"/>
            </w:tcBorders>
            <w:shd w:val="clear" w:color="auto" w:fill="BFBFBF"/>
            <w:noWrap w:val="0"/>
            <w:vAlign w:val="center"/>
          </w:tcPr>
          <w:p>
            <w:pPr>
              <w:jc w:val="center"/>
              <w:rPr>
                <w:rFonts w:hint="eastAsia" w:ascii="宋体" w:hAnsi="宋体"/>
                <w:b/>
                <w:bCs/>
                <w:sz w:val="24"/>
              </w:rPr>
            </w:pPr>
            <w:r>
              <w:rPr>
                <w:rFonts w:ascii="宋体" w:hAnsi="宋体"/>
                <w:b/>
                <w:bCs/>
                <w:sz w:val="24"/>
              </w:rPr>
              <w:t>服务期</w:t>
            </w:r>
          </w:p>
        </w:tc>
        <w:tc>
          <w:tcPr>
            <w:tcW w:w="710" w:type="pct"/>
            <w:tcBorders>
              <w:top w:val="single" w:color="auto" w:sz="4" w:space="0"/>
              <w:left w:val="single" w:color="auto" w:sz="4" w:space="0"/>
              <w:right w:val="single" w:color="auto" w:sz="4" w:space="0"/>
            </w:tcBorders>
            <w:shd w:val="clear" w:color="auto" w:fill="BFBFBF"/>
            <w:noWrap w:val="0"/>
            <w:vAlign w:val="center"/>
          </w:tcPr>
          <w:p>
            <w:pPr>
              <w:jc w:val="center"/>
              <w:rPr>
                <w:rFonts w:hint="eastAsia" w:ascii="宋体" w:hAnsi="宋体"/>
                <w:b/>
                <w:bCs/>
                <w:sz w:val="24"/>
              </w:rPr>
            </w:pPr>
            <w:r>
              <w:rPr>
                <w:rFonts w:ascii="宋体" w:hAnsi="宋体"/>
                <w:b/>
                <w:bCs/>
                <w:sz w:val="24"/>
              </w:rPr>
              <w:t>服务人数要求</w:t>
            </w:r>
          </w:p>
        </w:tc>
        <w:tc>
          <w:tcPr>
            <w:tcW w:w="1482" w:type="pct"/>
            <w:tcBorders>
              <w:top w:val="single" w:color="auto" w:sz="4" w:space="0"/>
              <w:left w:val="single" w:color="auto" w:sz="4" w:space="0"/>
              <w:right w:val="single" w:color="auto" w:sz="4" w:space="0"/>
            </w:tcBorders>
            <w:shd w:val="clear" w:color="auto" w:fill="BFBFBF"/>
            <w:noWrap w:val="0"/>
            <w:vAlign w:val="center"/>
          </w:tcPr>
          <w:p>
            <w:pPr>
              <w:jc w:val="center"/>
              <w:rPr>
                <w:rFonts w:hint="eastAsia" w:ascii="宋体" w:hAnsi="宋体"/>
                <w:b/>
                <w:bCs/>
                <w:sz w:val="24"/>
              </w:rPr>
            </w:pPr>
            <w:r>
              <w:rPr>
                <w:rFonts w:ascii="宋体" w:hAnsi="宋体"/>
                <w:b/>
                <w:bCs/>
                <w:sz w:val="24"/>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456" w:type="pct"/>
            <w:tcBorders>
              <w:top w:val="single" w:color="auto" w:sz="4" w:space="0"/>
              <w:left w:val="single" w:color="auto" w:sz="4" w:space="0"/>
              <w:right w:val="single" w:color="auto" w:sz="4" w:space="0"/>
            </w:tcBorders>
            <w:noWrap w:val="0"/>
            <w:vAlign w:val="center"/>
          </w:tcPr>
          <w:p>
            <w:pPr>
              <w:widowControl/>
              <w:jc w:val="center"/>
              <w:rPr>
                <w:rFonts w:hint="eastAsia" w:ascii="宋体" w:hAnsi="宋体"/>
                <w:sz w:val="24"/>
              </w:rPr>
            </w:pPr>
            <w:r>
              <w:rPr>
                <w:rFonts w:hint="eastAsia" w:ascii="宋体" w:hAnsi="宋体"/>
                <w:sz w:val="24"/>
              </w:rPr>
              <w:t>1</w:t>
            </w:r>
          </w:p>
        </w:tc>
        <w:tc>
          <w:tcPr>
            <w:tcW w:w="801" w:type="pct"/>
            <w:tcBorders>
              <w:top w:val="single" w:color="auto" w:sz="4" w:space="0"/>
              <w:left w:val="single" w:color="auto" w:sz="4" w:space="0"/>
              <w:right w:val="single" w:color="auto" w:sz="4" w:space="0"/>
            </w:tcBorders>
            <w:noWrap w:val="0"/>
            <w:vAlign w:val="center"/>
          </w:tcPr>
          <w:p>
            <w:pPr>
              <w:widowControl/>
              <w:jc w:val="center"/>
              <w:rPr>
                <w:rFonts w:hint="eastAsia" w:ascii="宋体" w:hAnsi="宋体"/>
                <w:sz w:val="24"/>
              </w:rPr>
            </w:pPr>
            <w:r>
              <w:rPr>
                <w:rFonts w:hint="eastAsia" w:ascii="宋体" w:hAnsi="宋体"/>
                <w:sz w:val="24"/>
              </w:rPr>
              <w:t>开发服务</w:t>
            </w:r>
          </w:p>
        </w:tc>
        <w:tc>
          <w:tcPr>
            <w:tcW w:w="1551" w:type="pct"/>
            <w:tcBorders>
              <w:top w:val="single" w:color="auto" w:sz="4" w:space="0"/>
              <w:left w:val="single" w:color="auto" w:sz="4" w:space="0"/>
              <w:right w:val="single" w:color="auto" w:sz="4" w:space="0"/>
            </w:tcBorders>
            <w:noWrap w:val="0"/>
            <w:vAlign w:val="center"/>
          </w:tcPr>
          <w:p>
            <w:pPr>
              <w:widowControl/>
              <w:jc w:val="center"/>
              <w:rPr>
                <w:rFonts w:hint="eastAsia" w:ascii="宋体" w:hAnsi="宋体"/>
                <w:sz w:val="24"/>
              </w:rPr>
            </w:pPr>
            <w:r>
              <w:rPr>
                <w:rFonts w:hint="eastAsia" w:ascii="宋体" w:hAnsi="宋体"/>
                <w:sz w:val="24"/>
              </w:rPr>
              <w:t>签订合同起至进出口银行新外币系统投产上线并平稳运行满三个月。</w:t>
            </w:r>
          </w:p>
        </w:tc>
        <w:tc>
          <w:tcPr>
            <w:tcW w:w="710" w:type="pct"/>
            <w:tcBorders>
              <w:top w:val="single" w:color="auto" w:sz="4" w:space="0"/>
              <w:left w:val="single" w:color="auto" w:sz="4" w:space="0"/>
              <w:right w:val="single" w:color="auto" w:sz="4" w:space="0"/>
            </w:tcBorders>
            <w:noWrap w:val="0"/>
            <w:vAlign w:val="center"/>
          </w:tcPr>
          <w:p>
            <w:pPr>
              <w:widowControl/>
              <w:jc w:val="center"/>
              <w:rPr>
                <w:rFonts w:hint="eastAsia" w:ascii="宋体" w:hAnsi="宋体"/>
                <w:sz w:val="24"/>
              </w:rPr>
            </w:pPr>
            <w:r>
              <w:rPr>
                <w:rFonts w:hint="eastAsia" w:ascii="宋体" w:hAnsi="宋体"/>
                <w:sz w:val="24"/>
              </w:rPr>
              <w:t>139人月</w:t>
            </w:r>
          </w:p>
        </w:tc>
        <w:tc>
          <w:tcPr>
            <w:tcW w:w="1482" w:type="pct"/>
            <w:tcBorders>
              <w:top w:val="single" w:color="auto" w:sz="4" w:space="0"/>
              <w:left w:val="single" w:color="auto" w:sz="4" w:space="0"/>
              <w:right w:val="single" w:color="auto" w:sz="4" w:space="0"/>
            </w:tcBorders>
            <w:noWrap w:val="0"/>
            <w:vAlign w:val="center"/>
          </w:tcPr>
          <w:p>
            <w:pPr>
              <w:widowControl/>
              <w:jc w:val="left"/>
              <w:rPr>
                <w:rFonts w:hint="eastAsia" w:ascii="宋体" w:hAnsi="宋体"/>
                <w:sz w:val="24"/>
              </w:rPr>
            </w:pPr>
            <w:r>
              <w:rPr>
                <w:rFonts w:hint="eastAsia" w:ascii="宋体" w:hAnsi="宋体"/>
                <w:sz w:val="24"/>
              </w:rPr>
              <w:t>高级：48人月</w:t>
            </w:r>
          </w:p>
          <w:p>
            <w:pPr>
              <w:widowControl/>
              <w:jc w:val="left"/>
              <w:rPr>
                <w:rFonts w:hint="eastAsia" w:ascii="宋体" w:hAnsi="宋体"/>
                <w:sz w:val="24"/>
              </w:rPr>
            </w:pPr>
            <w:r>
              <w:rPr>
                <w:rFonts w:hint="eastAsia" w:ascii="宋体" w:hAnsi="宋体"/>
                <w:sz w:val="24"/>
              </w:rPr>
              <w:t>中级：91人月</w:t>
            </w:r>
          </w:p>
          <w:p>
            <w:pPr>
              <w:widowControl/>
              <w:jc w:val="left"/>
              <w:rPr>
                <w:rFonts w:hint="eastAsia" w:ascii="宋体" w:hAnsi="宋体"/>
                <w:sz w:val="24"/>
              </w:rPr>
            </w:pPr>
            <w:r>
              <w:rPr>
                <w:rFonts w:hint="eastAsia" w:ascii="宋体" w:hAnsi="宋体"/>
                <w:sz w:val="24"/>
              </w:rPr>
              <w:t>根据实际使用量结算。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56" w:type="pct"/>
            <w:tcBorders>
              <w:top w:val="single" w:color="auto" w:sz="4" w:space="0"/>
              <w:left w:val="single" w:color="auto" w:sz="4" w:space="0"/>
              <w:right w:val="single" w:color="auto" w:sz="4" w:space="0"/>
            </w:tcBorders>
            <w:noWrap w:val="0"/>
            <w:vAlign w:val="center"/>
          </w:tcPr>
          <w:p>
            <w:pPr>
              <w:widowControl/>
              <w:jc w:val="center"/>
              <w:rPr>
                <w:rFonts w:hint="eastAsia" w:ascii="宋体" w:hAnsi="宋体"/>
                <w:sz w:val="24"/>
              </w:rPr>
            </w:pPr>
            <w:r>
              <w:rPr>
                <w:rFonts w:hint="eastAsia" w:ascii="宋体" w:hAnsi="宋体"/>
                <w:sz w:val="24"/>
              </w:rPr>
              <w:t>2</w:t>
            </w:r>
          </w:p>
        </w:tc>
        <w:tc>
          <w:tcPr>
            <w:tcW w:w="801" w:type="pct"/>
            <w:tcBorders>
              <w:top w:val="single" w:color="auto" w:sz="4" w:space="0"/>
              <w:left w:val="single" w:color="auto" w:sz="4" w:space="0"/>
              <w:right w:val="single" w:color="auto" w:sz="4" w:space="0"/>
            </w:tcBorders>
            <w:noWrap w:val="0"/>
            <w:vAlign w:val="center"/>
          </w:tcPr>
          <w:p>
            <w:pPr>
              <w:widowControl/>
              <w:jc w:val="center"/>
              <w:rPr>
                <w:rFonts w:hint="eastAsia" w:ascii="宋体" w:hAnsi="宋体"/>
                <w:sz w:val="24"/>
              </w:rPr>
            </w:pPr>
            <w:r>
              <w:rPr>
                <w:rFonts w:hint="eastAsia" w:ascii="宋体" w:hAnsi="宋体"/>
                <w:sz w:val="24"/>
              </w:rPr>
              <w:t>产品许可</w:t>
            </w:r>
          </w:p>
        </w:tc>
        <w:tc>
          <w:tcPr>
            <w:tcW w:w="1551" w:type="pct"/>
            <w:tcBorders>
              <w:top w:val="single" w:color="auto" w:sz="4" w:space="0"/>
              <w:left w:val="single" w:color="auto" w:sz="4" w:space="0"/>
              <w:right w:val="single" w:color="auto" w:sz="4" w:space="0"/>
            </w:tcBorders>
            <w:noWrap w:val="0"/>
            <w:vAlign w:val="center"/>
          </w:tcPr>
          <w:p>
            <w:pPr>
              <w:widowControl/>
              <w:jc w:val="center"/>
              <w:rPr>
                <w:rFonts w:hint="eastAsia" w:ascii="宋体" w:hAnsi="宋体"/>
                <w:sz w:val="24"/>
              </w:rPr>
            </w:pPr>
            <w:r>
              <w:rPr>
                <w:rFonts w:ascii="宋体" w:hAnsi="宋体"/>
                <w:sz w:val="24"/>
              </w:rPr>
              <w:t>18</w:t>
            </w:r>
            <w:r>
              <w:rPr>
                <w:rFonts w:hint="eastAsia" w:ascii="宋体" w:hAnsi="宋体"/>
                <w:sz w:val="24"/>
              </w:rPr>
              <w:t>个月</w:t>
            </w:r>
          </w:p>
        </w:tc>
        <w:tc>
          <w:tcPr>
            <w:tcW w:w="710" w:type="pct"/>
            <w:tcBorders>
              <w:top w:val="single" w:color="auto" w:sz="4" w:space="0"/>
              <w:left w:val="single" w:color="auto" w:sz="4" w:space="0"/>
              <w:right w:val="single" w:color="auto" w:sz="4" w:space="0"/>
            </w:tcBorders>
            <w:noWrap w:val="0"/>
            <w:vAlign w:val="center"/>
          </w:tcPr>
          <w:p>
            <w:pPr>
              <w:widowControl/>
              <w:jc w:val="center"/>
              <w:rPr>
                <w:rFonts w:hint="eastAsia" w:ascii="宋体" w:hAnsi="宋体"/>
                <w:sz w:val="24"/>
              </w:rPr>
            </w:pPr>
            <w:r>
              <w:rPr>
                <w:rFonts w:hint="eastAsia" w:ascii="宋体" w:hAnsi="宋体"/>
                <w:sz w:val="24"/>
              </w:rPr>
              <w:t>—</w:t>
            </w:r>
          </w:p>
        </w:tc>
        <w:tc>
          <w:tcPr>
            <w:tcW w:w="1482" w:type="pct"/>
            <w:tcBorders>
              <w:top w:val="single" w:color="auto" w:sz="4" w:space="0"/>
              <w:left w:val="single" w:color="auto" w:sz="4" w:space="0"/>
              <w:right w:val="single" w:color="auto" w:sz="4" w:space="0"/>
            </w:tcBorders>
            <w:noWrap w:val="0"/>
            <w:vAlign w:val="center"/>
          </w:tcPr>
          <w:p>
            <w:pPr>
              <w:widowControl/>
              <w:jc w:val="left"/>
              <w:rPr>
                <w:rFonts w:hint="eastAsia" w:ascii="宋体" w:hAnsi="宋体"/>
                <w:sz w:val="24"/>
              </w:rPr>
            </w:pPr>
            <w:r>
              <w:rPr>
                <w:rFonts w:hint="eastAsia" w:ascii="宋体" w:hAnsi="宋体"/>
                <w:bCs/>
                <w:sz w:val="24"/>
              </w:rPr>
              <w:t>巴黎分行</w:t>
            </w:r>
            <w:r>
              <w:rPr>
                <w:rFonts w:ascii="宋体" w:hAnsi="宋体" w:cs="仿宋"/>
                <w:sz w:val="24"/>
              </w:rPr>
              <w:t>KONDOR</w:t>
            </w:r>
            <w:r>
              <w:rPr>
                <w:rFonts w:hint="eastAsia" w:ascii="宋体" w:hAnsi="宋体" w:cs="仿宋"/>
                <w:sz w:val="24"/>
              </w:rPr>
              <w:t>+软件产品使用许可，自202</w:t>
            </w:r>
            <w:r>
              <w:rPr>
                <w:rFonts w:ascii="宋体" w:hAnsi="宋体" w:cs="仿宋"/>
                <w:sz w:val="24"/>
              </w:rPr>
              <w:t>6</w:t>
            </w:r>
            <w:r>
              <w:rPr>
                <w:rFonts w:hint="eastAsia" w:ascii="宋体" w:hAnsi="宋体" w:cs="仿宋"/>
                <w:sz w:val="24"/>
              </w:rPr>
              <w:t>年</w:t>
            </w:r>
            <w:r>
              <w:rPr>
                <w:rFonts w:ascii="宋体" w:hAnsi="宋体" w:cs="仿宋"/>
                <w:sz w:val="24"/>
              </w:rPr>
              <w:t>5</w:t>
            </w:r>
            <w:r>
              <w:rPr>
                <w:rFonts w:hint="eastAsia" w:ascii="宋体" w:hAnsi="宋体" w:cs="仿宋"/>
                <w:sz w:val="24"/>
              </w:rPr>
              <w:t>月</w:t>
            </w:r>
            <w:r>
              <w:rPr>
                <w:rFonts w:ascii="宋体" w:hAnsi="宋体" w:cs="仿宋"/>
                <w:sz w:val="24"/>
              </w:rPr>
              <w:t>21</w:t>
            </w:r>
            <w:r>
              <w:rPr>
                <w:rFonts w:hint="eastAsia" w:ascii="宋体" w:hAnsi="宋体" w:cs="仿宋"/>
                <w:sz w:val="24"/>
              </w:rPr>
              <w:t>日</w:t>
            </w:r>
            <w:r>
              <w:rPr>
                <w:rFonts w:hint="eastAsia" w:ascii="宋体" w:hAnsi="宋体"/>
                <w:bCs/>
                <w:sz w:val="24"/>
              </w:rPr>
              <w:t>至</w:t>
            </w:r>
            <w:r>
              <w:rPr>
                <w:rFonts w:hint="eastAsia" w:ascii="宋体" w:hAnsi="宋体" w:cs="仿宋"/>
                <w:sz w:val="24"/>
              </w:rPr>
              <w:t>202</w:t>
            </w:r>
            <w:r>
              <w:rPr>
                <w:rFonts w:ascii="宋体" w:hAnsi="宋体" w:cs="仿宋"/>
                <w:sz w:val="24"/>
              </w:rPr>
              <w:t>7</w:t>
            </w:r>
            <w:r>
              <w:rPr>
                <w:rFonts w:hint="eastAsia" w:ascii="宋体" w:hAnsi="宋体" w:cs="仿宋"/>
                <w:sz w:val="24"/>
              </w:rPr>
              <w:t>年</w:t>
            </w:r>
            <w:r>
              <w:rPr>
                <w:rFonts w:ascii="宋体" w:hAnsi="宋体" w:cs="仿宋"/>
                <w:sz w:val="24"/>
              </w:rPr>
              <w:t>11</w:t>
            </w:r>
            <w:r>
              <w:rPr>
                <w:rFonts w:hint="eastAsia" w:ascii="宋体" w:hAnsi="宋体" w:cs="仿宋"/>
                <w:sz w:val="24"/>
              </w:rPr>
              <w:t>月</w:t>
            </w:r>
            <w:r>
              <w:rPr>
                <w:rFonts w:ascii="宋体" w:hAnsi="宋体" w:cs="仿宋"/>
                <w:sz w:val="24"/>
              </w:rPr>
              <w:t>20</w:t>
            </w:r>
            <w:r>
              <w:rPr>
                <w:rFonts w:hint="eastAsia" w:ascii="宋体" w:hAnsi="宋体" w:cs="仿宋"/>
                <w:sz w:val="24"/>
              </w:rPr>
              <w:t>日。</w:t>
            </w:r>
          </w:p>
        </w:tc>
      </w:tr>
    </w:tbl>
    <w:p>
      <w:pPr>
        <w:pStyle w:val="11"/>
        <w:adjustRightInd w:val="0"/>
        <w:spacing w:before="0" w:after="0" w:line="360" w:lineRule="auto"/>
        <w:ind w:firstLine="480" w:firstLineChars="200"/>
        <w:jc w:val="both"/>
        <w:textAlignment w:val="baseline"/>
        <w:rPr>
          <w:rFonts w:hint="eastAsia" w:ascii="宋体" w:hAnsi="宋体"/>
          <w:sz w:val="24"/>
          <w:szCs w:val="24"/>
        </w:rPr>
      </w:pPr>
      <w:bookmarkStart w:id="4" w:name="_Toc32452"/>
      <w:r>
        <w:rPr>
          <w:rFonts w:ascii="宋体" w:hAnsi="宋体"/>
          <w:b w:val="0"/>
          <w:bCs w:val="0"/>
          <w:sz w:val="24"/>
          <w:szCs w:val="24"/>
        </w:rPr>
        <w:t>三、业务要求</w:t>
      </w:r>
      <w:bookmarkEnd w:id="4"/>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2572"/>
        <w:gridCol w:w="5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57" w:type="pct"/>
            <w:tcBorders>
              <w:top w:val="single" w:color="auto" w:sz="4" w:space="0"/>
              <w:left w:val="single" w:color="auto" w:sz="4" w:space="0"/>
              <w:right w:val="single" w:color="auto" w:sz="4" w:space="0"/>
            </w:tcBorders>
            <w:shd w:val="clear" w:color="auto" w:fill="BFBFBF"/>
            <w:noWrap w:val="0"/>
            <w:vAlign w:val="center"/>
          </w:tcPr>
          <w:p>
            <w:pPr>
              <w:jc w:val="center"/>
              <w:rPr>
                <w:rFonts w:hint="eastAsia" w:ascii="宋体" w:hAnsi="宋体" w:cs="仿宋_GB2312"/>
                <w:b/>
                <w:bCs/>
                <w:sz w:val="24"/>
              </w:rPr>
            </w:pPr>
            <w:r>
              <w:rPr>
                <w:rFonts w:hint="eastAsia" w:ascii="宋体" w:hAnsi="宋体" w:cs="仿宋_GB2312"/>
                <w:b/>
                <w:bCs/>
                <w:sz w:val="24"/>
              </w:rPr>
              <w:t>序号</w:t>
            </w:r>
          </w:p>
        </w:tc>
        <w:tc>
          <w:tcPr>
            <w:tcW w:w="1509" w:type="pct"/>
            <w:tcBorders>
              <w:top w:val="single" w:color="auto" w:sz="4" w:space="0"/>
              <w:left w:val="single" w:color="auto" w:sz="4" w:space="0"/>
              <w:right w:val="single" w:color="auto" w:sz="4" w:space="0"/>
            </w:tcBorders>
            <w:shd w:val="clear" w:color="auto" w:fill="BFBFBF"/>
            <w:noWrap w:val="0"/>
            <w:vAlign w:val="center"/>
          </w:tcPr>
          <w:p>
            <w:pPr>
              <w:jc w:val="center"/>
              <w:rPr>
                <w:rFonts w:hint="eastAsia" w:ascii="宋体" w:hAnsi="宋体" w:cs="仿宋_GB2312"/>
                <w:b/>
                <w:bCs/>
                <w:sz w:val="24"/>
              </w:rPr>
            </w:pPr>
            <w:r>
              <w:rPr>
                <w:rFonts w:hint="eastAsia" w:ascii="宋体" w:hAnsi="宋体" w:cs="仿宋_GB2312"/>
                <w:b/>
                <w:bCs/>
                <w:sz w:val="24"/>
              </w:rPr>
              <w:t>需求编号</w:t>
            </w:r>
          </w:p>
        </w:tc>
        <w:tc>
          <w:tcPr>
            <w:tcW w:w="2934" w:type="pct"/>
            <w:tcBorders>
              <w:top w:val="single" w:color="auto" w:sz="4" w:space="0"/>
              <w:left w:val="single" w:color="auto" w:sz="4" w:space="0"/>
              <w:right w:val="single" w:color="auto" w:sz="4" w:space="0"/>
            </w:tcBorders>
            <w:shd w:val="clear" w:color="auto" w:fill="BFBFBF"/>
            <w:noWrap w:val="0"/>
            <w:vAlign w:val="center"/>
          </w:tcPr>
          <w:p>
            <w:pPr>
              <w:jc w:val="center"/>
              <w:rPr>
                <w:rFonts w:hint="eastAsia" w:ascii="宋体" w:hAnsi="宋体" w:cs="仿宋_GB2312"/>
                <w:b/>
                <w:bCs/>
                <w:sz w:val="24"/>
              </w:rPr>
            </w:pPr>
            <w:r>
              <w:rPr>
                <w:rFonts w:hint="eastAsia" w:ascii="宋体" w:hAnsi="宋体" w:cs="仿宋_GB2312"/>
                <w:b/>
                <w:bCs/>
                <w:sz w:val="24"/>
              </w:rPr>
              <w:t>需求简称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557" w:type="pct"/>
            <w:tcBorders>
              <w:top w:val="single" w:color="auto" w:sz="4" w:space="0"/>
              <w:left w:val="single" w:color="auto" w:sz="4" w:space="0"/>
              <w:right w:val="single" w:color="auto" w:sz="4" w:space="0"/>
            </w:tcBorders>
            <w:noWrap w:val="0"/>
            <w:vAlign w:val="center"/>
          </w:tcPr>
          <w:p>
            <w:pPr>
              <w:widowControl/>
              <w:jc w:val="center"/>
              <w:rPr>
                <w:rFonts w:hint="eastAsia" w:ascii="宋体" w:hAnsi="宋体" w:cs="仿宋_GB2312"/>
                <w:sz w:val="24"/>
              </w:rPr>
            </w:pPr>
            <w:r>
              <w:rPr>
                <w:rFonts w:hint="eastAsia" w:ascii="宋体" w:hAnsi="宋体" w:cs="仿宋_GB2312"/>
                <w:sz w:val="24"/>
              </w:rPr>
              <w:t>1</w:t>
            </w:r>
          </w:p>
        </w:tc>
        <w:tc>
          <w:tcPr>
            <w:tcW w:w="1509" w:type="pct"/>
            <w:tcBorders>
              <w:top w:val="single" w:color="auto" w:sz="4" w:space="0"/>
              <w:left w:val="single" w:color="auto" w:sz="4" w:space="0"/>
              <w:right w:val="single" w:color="auto" w:sz="4" w:space="0"/>
            </w:tcBorders>
            <w:noWrap w:val="0"/>
            <w:vAlign w:val="center"/>
          </w:tcPr>
          <w:p>
            <w:pPr>
              <w:widowControl/>
              <w:jc w:val="center"/>
              <w:rPr>
                <w:rFonts w:hint="eastAsia" w:ascii="宋体" w:hAnsi="宋体" w:cs="仿宋_GB2312"/>
                <w:sz w:val="24"/>
              </w:rPr>
            </w:pPr>
            <w:r>
              <w:rPr>
                <w:rFonts w:hint="eastAsia" w:ascii="宋体" w:hAnsi="宋体" w:cs="仿宋_GB2312"/>
                <w:sz w:val="24"/>
              </w:rPr>
              <w:t>XQ202408261325-002</w:t>
            </w:r>
          </w:p>
        </w:tc>
        <w:tc>
          <w:tcPr>
            <w:tcW w:w="2934" w:type="pct"/>
            <w:tcBorders>
              <w:top w:val="single" w:color="auto" w:sz="4" w:space="0"/>
              <w:left w:val="single" w:color="auto" w:sz="4" w:space="0"/>
              <w:right w:val="single" w:color="auto" w:sz="4" w:space="0"/>
            </w:tcBorders>
            <w:noWrap w:val="0"/>
            <w:vAlign w:val="center"/>
          </w:tcPr>
          <w:p>
            <w:pPr>
              <w:widowControl/>
              <w:rPr>
                <w:rFonts w:hint="eastAsia" w:ascii="宋体" w:hAnsi="宋体" w:cs="仿宋_GB2312"/>
                <w:sz w:val="24"/>
              </w:rPr>
            </w:pPr>
            <w:r>
              <w:rPr>
                <w:rFonts w:hint="eastAsia" w:ascii="宋体" w:hAnsi="宋体" w:cs="仿宋_GB2312"/>
                <w:sz w:val="24"/>
              </w:rPr>
              <w:t>SWIFT+CBPR+报文升级（支付结算）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55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仿宋_GB2312"/>
                <w:sz w:val="24"/>
              </w:rPr>
            </w:pPr>
            <w:r>
              <w:rPr>
                <w:rFonts w:hint="eastAsia" w:ascii="宋体" w:hAnsi="宋体" w:cs="仿宋_GB2312"/>
                <w:sz w:val="24"/>
              </w:rPr>
              <w:t>2</w:t>
            </w:r>
          </w:p>
        </w:tc>
        <w:tc>
          <w:tcPr>
            <w:tcW w:w="150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仿宋_GB2312"/>
                <w:sz w:val="24"/>
              </w:rPr>
            </w:pPr>
            <w:r>
              <w:rPr>
                <w:rFonts w:hint="eastAsia" w:ascii="宋体" w:hAnsi="宋体" w:cs="仿宋_GB2312"/>
                <w:sz w:val="24"/>
              </w:rPr>
              <w:t>XQ202410081362-001</w:t>
            </w:r>
          </w:p>
        </w:tc>
        <w:tc>
          <w:tcPr>
            <w:tcW w:w="2934" w:type="pct"/>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仿宋_GB2312"/>
                <w:sz w:val="24"/>
              </w:rPr>
            </w:pPr>
            <w:r>
              <w:rPr>
                <w:rFonts w:hint="eastAsia" w:ascii="宋体" w:hAnsi="宋体" w:cs="仿宋_GB2312"/>
                <w:sz w:val="24"/>
              </w:rPr>
              <w:t>SWIFT+CBPR+报文升级业务需求书-巴黎分行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5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仿宋_GB2312"/>
                <w:sz w:val="24"/>
              </w:rPr>
            </w:pPr>
            <w:r>
              <w:rPr>
                <w:rFonts w:hint="eastAsia" w:ascii="宋体" w:hAnsi="宋体" w:cs="仿宋_GB2312"/>
                <w:sz w:val="24"/>
              </w:rPr>
              <w:t>3</w:t>
            </w:r>
          </w:p>
        </w:tc>
        <w:tc>
          <w:tcPr>
            <w:tcW w:w="150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仿宋_GB2312"/>
                <w:sz w:val="24"/>
              </w:rPr>
            </w:pPr>
            <w:r>
              <w:rPr>
                <w:rFonts w:hint="eastAsia" w:ascii="宋体" w:hAnsi="宋体" w:cs="仿宋_GB2312"/>
                <w:sz w:val="24"/>
              </w:rPr>
              <w:t>XQ202407301298-001</w:t>
            </w:r>
          </w:p>
        </w:tc>
        <w:tc>
          <w:tcPr>
            <w:tcW w:w="2934" w:type="pct"/>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仿宋_GB2312"/>
                <w:sz w:val="24"/>
              </w:rPr>
            </w:pPr>
            <w:r>
              <w:rPr>
                <w:rFonts w:hint="eastAsia" w:ascii="宋体" w:hAnsi="宋体" w:cs="仿宋_GB2312"/>
                <w:sz w:val="24"/>
              </w:rPr>
              <w:t>自贸项下金融市场业务增加CIPS报文功能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57" w:type="pct"/>
            <w:tcBorders>
              <w:top w:val="single" w:color="auto" w:sz="4" w:space="0"/>
              <w:left w:val="single" w:color="auto" w:sz="4" w:space="0"/>
              <w:right w:val="single" w:color="auto" w:sz="4" w:space="0"/>
            </w:tcBorders>
            <w:noWrap w:val="0"/>
            <w:vAlign w:val="center"/>
          </w:tcPr>
          <w:p>
            <w:pPr>
              <w:widowControl/>
              <w:jc w:val="center"/>
              <w:rPr>
                <w:rFonts w:hint="eastAsia" w:ascii="宋体" w:hAnsi="宋体" w:cs="仿宋_GB2312"/>
                <w:sz w:val="24"/>
              </w:rPr>
            </w:pPr>
            <w:r>
              <w:rPr>
                <w:rFonts w:hint="eastAsia" w:ascii="宋体" w:hAnsi="宋体" w:cs="仿宋_GB2312"/>
                <w:sz w:val="24"/>
              </w:rPr>
              <w:t>4</w:t>
            </w:r>
          </w:p>
        </w:tc>
        <w:tc>
          <w:tcPr>
            <w:tcW w:w="1509" w:type="pct"/>
            <w:tcBorders>
              <w:top w:val="single" w:color="auto" w:sz="4" w:space="0"/>
              <w:left w:val="single" w:color="auto" w:sz="4" w:space="0"/>
              <w:right w:val="single" w:color="auto" w:sz="4" w:space="0"/>
            </w:tcBorders>
            <w:noWrap w:val="0"/>
            <w:vAlign w:val="center"/>
          </w:tcPr>
          <w:p>
            <w:pPr>
              <w:widowControl/>
              <w:jc w:val="center"/>
              <w:rPr>
                <w:rFonts w:hint="eastAsia" w:ascii="宋体" w:hAnsi="宋体" w:cs="仿宋_GB2312"/>
                <w:sz w:val="24"/>
              </w:rPr>
            </w:pPr>
            <w:r>
              <w:rPr>
                <w:rFonts w:hint="eastAsia" w:ascii="宋体" w:hAnsi="宋体" w:cs="仿宋_GB2312"/>
                <w:sz w:val="24"/>
              </w:rPr>
              <w:t>——</w:t>
            </w:r>
          </w:p>
        </w:tc>
        <w:tc>
          <w:tcPr>
            <w:tcW w:w="2934" w:type="pct"/>
            <w:tcBorders>
              <w:top w:val="single" w:color="auto" w:sz="4" w:space="0"/>
              <w:left w:val="single" w:color="auto" w:sz="4" w:space="0"/>
              <w:right w:val="single" w:color="auto" w:sz="4" w:space="0"/>
            </w:tcBorders>
            <w:noWrap w:val="0"/>
            <w:vAlign w:val="center"/>
          </w:tcPr>
          <w:p>
            <w:pPr>
              <w:widowControl/>
              <w:rPr>
                <w:rFonts w:hint="eastAsia" w:ascii="宋体" w:hAnsi="宋体" w:cs="仿宋_GB2312"/>
                <w:sz w:val="24"/>
              </w:rPr>
            </w:pPr>
            <w:r>
              <w:rPr>
                <w:rFonts w:hint="eastAsia" w:ascii="宋体" w:hAnsi="宋体" w:cs="仿宋_GB2312"/>
                <w:sz w:val="24"/>
              </w:rPr>
              <w:t>其他合同有效期内必须实施的紧急需求</w:t>
            </w:r>
          </w:p>
        </w:tc>
      </w:tr>
    </w:tbl>
    <w:p>
      <w:pPr>
        <w:numPr>
          <w:ilvl w:val="0"/>
          <w:numId w:val="3"/>
        </w:numPr>
        <w:spacing w:line="360" w:lineRule="auto"/>
        <w:ind w:firstLine="480" w:firstLineChars="200"/>
        <w:rPr>
          <w:rFonts w:hint="eastAsia" w:ascii="宋体" w:hAnsi="宋体"/>
          <w:sz w:val="24"/>
        </w:rPr>
      </w:pPr>
      <w:r>
        <w:rPr>
          <w:rFonts w:hint="eastAsia" w:ascii="宋体" w:hAnsi="宋体"/>
          <w:sz w:val="24"/>
        </w:rPr>
        <w:t>XQ202408261325-002 SWIFT+CBPR+报文升级（支付结算）</w:t>
      </w:r>
    </w:p>
    <w:p>
      <w:pPr>
        <w:pStyle w:val="2"/>
        <w:spacing w:after="0" w:line="360" w:lineRule="auto"/>
        <w:ind w:left="0" w:leftChars="0" w:firstLine="480"/>
        <w:rPr>
          <w:rFonts w:hint="eastAsia" w:ascii="宋体" w:hAnsi="宋体"/>
        </w:rPr>
      </w:pPr>
      <w:r>
        <w:rPr>
          <w:rFonts w:hint="eastAsia" w:ascii="宋体" w:hAnsi="宋体"/>
        </w:rPr>
        <w:t>实现境内金融市场业务涉及的CBPR+报文收发功能，配合支付结算类系统完成相关升级。要求 2025年11月22日前投产上线。</w:t>
      </w:r>
    </w:p>
    <w:p>
      <w:pPr>
        <w:numPr>
          <w:ilvl w:val="0"/>
          <w:numId w:val="3"/>
        </w:numPr>
        <w:spacing w:line="360" w:lineRule="auto"/>
        <w:ind w:firstLine="480" w:firstLineChars="200"/>
        <w:rPr>
          <w:rFonts w:hint="eastAsia" w:ascii="宋体" w:hAnsi="宋体"/>
          <w:sz w:val="24"/>
        </w:rPr>
      </w:pPr>
      <w:r>
        <w:rPr>
          <w:rFonts w:hint="eastAsia" w:ascii="宋体" w:hAnsi="宋体"/>
          <w:sz w:val="24"/>
        </w:rPr>
        <w:t>XQ202410081362-001 SWIFT+CBPR+报文升级业务需求书-巴黎分行</w:t>
      </w:r>
    </w:p>
    <w:p>
      <w:pPr>
        <w:spacing w:line="360" w:lineRule="auto"/>
        <w:ind w:firstLine="480" w:firstLineChars="200"/>
        <w:rPr>
          <w:rFonts w:hint="eastAsia" w:ascii="宋体" w:hAnsi="宋体"/>
          <w:sz w:val="24"/>
        </w:rPr>
      </w:pPr>
      <w:r>
        <w:rPr>
          <w:rFonts w:hint="eastAsia" w:ascii="宋体" w:hAnsi="宋体"/>
          <w:sz w:val="24"/>
        </w:rPr>
        <w:t>巴黎金融市场业务在KONDOR系统生成支付信息传输GMPS自动生成MX（CBPR+）相关支付类报文包括（pacs008、pacs009、camt056、camt057）进行发送。报文内容回传KONDOR进行显示。要求 2025年11月22日前投产上线。</w:t>
      </w:r>
    </w:p>
    <w:p>
      <w:pPr>
        <w:numPr>
          <w:ilvl w:val="0"/>
          <w:numId w:val="3"/>
        </w:numPr>
        <w:spacing w:line="360" w:lineRule="auto"/>
        <w:ind w:firstLine="480" w:firstLineChars="200"/>
        <w:rPr>
          <w:rFonts w:hint="eastAsia" w:ascii="宋体" w:hAnsi="宋体"/>
          <w:sz w:val="24"/>
        </w:rPr>
      </w:pPr>
      <w:r>
        <w:rPr>
          <w:rFonts w:hint="eastAsia" w:ascii="宋体" w:hAnsi="宋体"/>
          <w:sz w:val="24"/>
        </w:rPr>
        <w:t>XQ202407301298-001 自贸项下金融市场业务增加CIPS报文功能</w:t>
      </w:r>
    </w:p>
    <w:p>
      <w:pPr>
        <w:spacing w:line="360" w:lineRule="auto"/>
        <w:ind w:firstLine="480" w:firstLineChars="200"/>
        <w:rPr>
          <w:rFonts w:hint="eastAsia" w:ascii="宋体" w:hAnsi="宋体"/>
          <w:sz w:val="24"/>
        </w:rPr>
      </w:pPr>
      <w:r>
        <w:rPr>
          <w:rFonts w:hint="eastAsia" w:ascii="宋体" w:hAnsi="宋体"/>
          <w:sz w:val="24"/>
        </w:rPr>
        <w:t>目前，KONDOR组件仅支持境外人民币清算户通过SWIFT进行资金清算方式。考虑到采购人自贸项下开立了境内和境外两个人民币清算户且对应需要支持CIPS和SWIFT两种清算路径的情况，自贸项下金融市场业务应做相应改造去支持CIPS报文相关功能。同时，KONDOR组件还需要增加清算路径选择的判断逻辑用以区分金融市场业务调用境内或是境外的人民币清算户。</w:t>
      </w:r>
    </w:p>
    <w:p>
      <w:pPr>
        <w:pStyle w:val="11"/>
        <w:keepNext/>
        <w:keepLines/>
        <w:widowControl w:val="0"/>
        <w:numPr>
          <w:ilvl w:val="0"/>
          <w:numId w:val="4"/>
        </w:numPr>
        <w:adjustRightInd w:val="0"/>
        <w:spacing w:before="0" w:after="0" w:line="360" w:lineRule="auto"/>
        <w:ind w:firstLine="480" w:firstLineChars="200"/>
        <w:jc w:val="both"/>
        <w:textAlignment w:val="baseline"/>
        <w:rPr>
          <w:rFonts w:hint="eastAsia" w:ascii="宋体" w:hAnsi="宋体"/>
          <w:b w:val="0"/>
          <w:bCs w:val="0"/>
          <w:sz w:val="24"/>
          <w:szCs w:val="24"/>
        </w:rPr>
      </w:pPr>
      <w:bookmarkStart w:id="5" w:name="_Toc17277"/>
      <w:r>
        <w:rPr>
          <w:rFonts w:ascii="宋体" w:hAnsi="宋体"/>
          <w:b w:val="0"/>
          <w:bCs w:val="0"/>
          <w:sz w:val="24"/>
          <w:szCs w:val="24"/>
        </w:rPr>
        <w:t>技术要求</w:t>
      </w:r>
      <w:bookmarkEnd w:id="5"/>
    </w:p>
    <w:p>
      <w:pPr>
        <w:pStyle w:val="11"/>
        <w:keepNext/>
        <w:keepLines/>
        <w:widowControl w:val="0"/>
        <w:numPr>
          <w:ilvl w:val="0"/>
          <w:numId w:val="5"/>
        </w:numPr>
        <w:adjustRightInd w:val="0"/>
        <w:spacing w:before="0" w:after="0" w:line="360" w:lineRule="auto"/>
        <w:ind w:firstLine="480" w:firstLineChars="200"/>
        <w:jc w:val="both"/>
        <w:textAlignment w:val="baseline"/>
        <w:outlineLvl w:val="1"/>
        <w:rPr>
          <w:rFonts w:hint="eastAsia" w:ascii="宋体" w:hAnsi="宋体"/>
          <w:b w:val="0"/>
          <w:bCs w:val="0"/>
          <w:sz w:val="24"/>
          <w:szCs w:val="24"/>
        </w:rPr>
      </w:pPr>
      <w:r>
        <w:rPr>
          <w:rFonts w:hint="eastAsia" w:ascii="宋体" w:hAnsi="宋体"/>
          <w:b w:val="0"/>
          <w:bCs w:val="0"/>
          <w:sz w:val="24"/>
          <w:szCs w:val="24"/>
        </w:rPr>
        <w:t>数据迁移服务</w:t>
      </w:r>
    </w:p>
    <w:p>
      <w:pPr>
        <w:numPr>
          <w:ilvl w:val="0"/>
          <w:numId w:val="6"/>
        </w:numPr>
        <w:spacing w:line="360" w:lineRule="auto"/>
        <w:ind w:firstLine="480" w:firstLineChars="200"/>
        <w:rPr>
          <w:rFonts w:hint="eastAsia" w:ascii="宋体" w:hAnsi="宋体"/>
          <w:sz w:val="24"/>
        </w:rPr>
      </w:pPr>
      <w:r>
        <w:rPr>
          <w:rFonts w:hint="eastAsia" w:ascii="宋体" w:hAnsi="宋体"/>
          <w:sz w:val="24"/>
        </w:rPr>
        <w:t>数据迁移范围</w:t>
      </w:r>
    </w:p>
    <w:p>
      <w:pPr>
        <w:spacing w:line="360" w:lineRule="auto"/>
        <w:ind w:firstLine="480" w:firstLineChars="200"/>
        <w:rPr>
          <w:rFonts w:hint="eastAsia" w:ascii="宋体" w:hAnsi="宋体"/>
          <w:sz w:val="24"/>
        </w:rPr>
      </w:pPr>
      <w:r>
        <w:rPr>
          <w:rFonts w:hint="eastAsia" w:ascii="宋体" w:hAnsi="宋体"/>
          <w:sz w:val="24"/>
        </w:rPr>
        <w:t>外币资金交易系统中全量历史数据。</w:t>
      </w:r>
    </w:p>
    <w:p>
      <w:pPr>
        <w:numPr>
          <w:ilvl w:val="0"/>
          <w:numId w:val="6"/>
        </w:numPr>
        <w:spacing w:line="360" w:lineRule="auto"/>
        <w:ind w:firstLine="480" w:firstLineChars="200"/>
        <w:rPr>
          <w:rFonts w:hint="eastAsia" w:ascii="宋体" w:hAnsi="宋体"/>
          <w:sz w:val="24"/>
        </w:rPr>
      </w:pPr>
      <w:r>
        <w:rPr>
          <w:rFonts w:hint="eastAsia" w:ascii="宋体" w:hAnsi="宋体"/>
          <w:sz w:val="24"/>
        </w:rPr>
        <w:t>数据迁移工作内容</w:t>
      </w:r>
    </w:p>
    <w:p>
      <w:pPr>
        <w:numPr>
          <w:ilvl w:val="0"/>
          <w:numId w:val="7"/>
        </w:numPr>
        <w:spacing w:line="360" w:lineRule="auto"/>
        <w:ind w:firstLine="480" w:firstLineChars="200"/>
        <w:rPr>
          <w:rFonts w:hint="eastAsia" w:ascii="宋体" w:hAnsi="宋体"/>
          <w:sz w:val="24"/>
        </w:rPr>
      </w:pPr>
      <w:r>
        <w:rPr>
          <w:rFonts w:hint="eastAsia" w:ascii="宋体" w:hAnsi="宋体"/>
          <w:sz w:val="24"/>
        </w:rPr>
        <w:t>咨询服务。根据甲方需要，配合迁移映射分析，提供对字段及数据的解释工作，并对解释工作生成的字段信息、映射规则进行确认；协助分析数据迁移过程中出现的问题，参与解决方案的讨论。</w:t>
      </w:r>
    </w:p>
    <w:p>
      <w:pPr>
        <w:numPr>
          <w:ilvl w:val="0"/>
          <w:numId w:val="7"/>
        </w:numPr>
        <w:spacing w:line="360" w:lineRule="auto"/>
        <w:ind w:firstLine="480" w:firstLineChars="200"/>
        <w:rPr>
          <w:rFonts w:hint="eastAsia" w:ascii="宋体" w:hAnsi="宋体"/>
          <w:sz w:val="24"/>
        </w:rPr>
      </w:pPr>
      <w:r>
        <w:rPr>
          <w:rFonts w:hint="eastAsia" w:ascii="宋体" w:hAnsi="宋体"/>
          <w:sz w:val="24"/>
        </w:rPr>
        <w:t>历史数据导出。按源系统表结构导出源系统全量原始数据文件，数据文件为可编辑、直观可见、采用指定分隔符分隔的文本文件；按需提供建表语句并配合导入指定位置。</w:t>
      </w:r>
    </w:p>
    <w:p>
      <w:pPr>
        <w:numPr>
          <w:ilvl w:val="0"/>
          <w:numId w:val="7"/>
        </w:numPr>
        <w:spacing w:line="360" w:lineRule="auto"/>
        <w:ind w:firstLine="480" w:firstLineChars="200"/>
        <w:rPr>
          <w:rFonts w:hint="eastAsia" w:ascii="宋体" w:hAnsi="宋体"/>
          <w:sz w:val="24"/>
        </w:rPr>
      </w:pPr>
      <w:r>
        <w:rPr>
          <w:rFonts w:hint="eastAsia" w:ascii="宋体" w:hAnsi="宋体"/>
          <w:sz w:val="24"/>
        </w:rPr>
        <w:t>迁移测试。根据甲方需要，配合新旧系统数据迁移测试及切换演练等工作，协助问题分析。</w:t>
      </w:r>
    </w:p>
    <w:p>
      <w:pPr>
        <w:pStyle w:val="11"/>
        <w:keepNext/>
        <w:keepLines/>
        <w:widowControl w:val="0"/>
        <w:numPr>
          <w:ilvl w:val="0"/>
          <w:numId w:val="5"/>
        </w:numPr>
        <w:adjustRightInd w:val="0"/>
        <w:spacing w:before="0" w:after="0" w:line="360" w:lineRule="auto"/>
        <w:ind w:firstLine="480" w:firstLineChars="200"/>
        <w:jc w:val="both"/>
        <w:textAlignment w:val="baseline"/>
        <w:outlineLvl w:val="1"/>
        <w:rPr>
          <w:rFonts w:hint="eastAsia" w:ascii="宋体" w:hAnsi="宋体"/>
          <w:b w:val="0"/>
          <w:bCs w:val="0"/>
          <w:sz w:val="24"/>
          <w:szCs w:val="24"/>
        </w:rPr>
      </w:pPr>
      <w:r>
        <w:rPr>
          <w:rFonts w:hint="eastAsia" w:ascii="宋体" w:hAnsi="宋体"/>
          <w:b w:val="0"/>
          <w:bCs w:val="0"/>
          <w:sz w:val="24"/>
          <w:szCs w:val="24"/>
        </w:rPr>
        <w:t>二级运维服务</w:t>
      </w:r>
    </w:p>
    <w:p>
      <w:pPr>
        <w:spacing w:line="360" w:lineRule="auto"/>
        <w:ind w:firstLine="480" w:firstLineChars="200"/>
        <w:rPr>
          <w:rFonts w:hint="eastAsia" w:ascii="宋体" w:hAnsi="宋体"/>
          <w:sz w:val="24"/>
        </w:rPr>
      </w:pPr>
      <w:r>
        <w:rPr>
          <w:rFonts w:hint="eastAsia" w:ascii="宋体" w:hAnsi="宋体"/>
          <w:sz w:val="24"/>
        </w:rPr>
        <w:t>乙方提供二级运维驻场服务，支持甲方系统使用，工作内容包括：</w:t>
      </w:r>
    </w:p>
    <w:p>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系统操作问题解答</w:t>
      </w:r>
    </w:p>
    <w:p>
      <w:pPr>
        <w:spacing w:line="360" w:lineRule="auto"/>
        <w:ind w:firstLine="480" w:firstLineChars="200"/>
        <w:rPr>
          <w:rFonts w:hint="eastAsia" w:ascii="宋体" w:hAnsi="宋体"/>
          <w:sz w:val="24"/>
        </w:rPr>
      </w:pPr>
      <w:r>
        <w:rPr>
          <w:rFonts w:ascii="宋体" w:hAnsi="宋体"/>
          <w:sz w:val="24"/>
        </w:rPr>
        <w:t>依据甲方工作时间安排，对甲方各业务部门、技术部门提供系统操作问题解答。</w:t>
      </w:r>
    </w:p>
    <w:p>
      <w:pPr>
        <w:numPr>
          <w:ilvl w:val="0"/>
          <w:numId w:val="8"/>
        </w:numPr>
        <w:spacing w:line="360" w:lineRule="auto"/>
        <w:ind w:firstLine="480" w:firstLineChars="200"/>
        <w:rPr>
          <w:rFonts w:hint="eastAsia" w:ascii="宋体" w:hAnsi="宋体"/>
          <w:sz w:val="24"/>
        </w:rPr>
      </w:pPr>
      <w:r>
        <w:rPr>
          <w:rFonts w:ascii="宋体" w:hAnsi="宋体"/>
          <w:sz w:val="24"/>
        </w:rPr>
        <w:t>监控系统运行状态</w:t>
      </w:r>
    </w:p>
    <w:p>
      <w:pPr>
        <w:spacing w:line="360" w:lineRule="auto"/>
        <w:ind w:firstLine="480" w:firstLineChars="200"/>
        <w:rPr>
          <w:rFonts w:hint="eastAsia" w:ascii="宋体" w:hAnsi="宋体"/>
          <w:sz w:val="24"/>
        </w:rPr>
      </w:pPr>
      <w:r>
        <w:rPr>
          <w:rFonts w:ascii="宋体" w:hAnsi="宋体"/>
          <w:sz w:val="24"/>
        </w:rPr>
        <w:t>提供例行巡检方案，包括检查接口运行状态、批量执行情况等。</w:t>
      </w:r>
    </w:p>
    <w:p>
      <w:pPr>
        <w:numPr>
          <w:ilvl w:val="0"/>
          <w:numId w:val="8"/>
        </w:numPr>
        <w:spacing w:line="360" w:lineRule="auto"/>
        <w:ind w:firstLine="480" w:firstLineChars="200"/>
        <w:rPr>
          <w:rFonts w:hint="eastAsia" w:ascii="宋体" w:hAnsi="宋体"/>
          <w:sz w:val="24"/>
        </w:rPr>
      </w:pPr>
      <w:r>
        <w:rPr>
          <w:rFonts w:ascii="宋体" w:hAnsi="宋体"/>
          <w:sz w:val="24"/>
        </w:rPr>
        <w:t>系统缺陷</w:t>
      </w:r>
      <w:r>
        <w:rPr>
          <w:rFonts w:hint="eastAsia" w:ascii="宋体" w:hAnsi="宋体"/>
          <w:sz w:val="24"/>
        </w:rPr>
        <w:t>及漏洞</w:t>
      </w:r>
      <w:r>
        <w:rPr>
          <w:rFonts w:ascii="宋体" w:hAnsi="宋体"/>
          <w:sz w:val="24"/>
        </w:rPr>
        <w:t>修复</w:t>
      </w:r>
    </w:p>
    <w:p>
      <w:pPr>
        <w:spacing w:line="360" w:lineRule="auto"/>
        <w:ind w:firstLine="480" w:firstLineChars="200"/>
        <w:rPr>
          <w:rFonts w:hint="eastAsia" w:ascii="宋体" w:hAnsi="宋体"/>
          <w:sz w:val="24"/>
        </w:rPr>
      </w:pPr>
      <w:r>
        <w:rPr>
          <w:rFonts w:ascii="宋体" w:hAnsi="宋体"/>
          <w:sz w:val="24"/>
        </w:rPr>
        <w:t>依据甲方流程安排，按各类故障现象协助分析故障原因和提供故障解决方案</w:t>
      </w:r>
      <w:r>
        <w:rPr>
          <w:rFonts w:hint="eastAsia" w:ascii="宋体" w:hAnsi="宋体"/>
          <w:sz w:val="24"/>
        </w:rPr>
        <w:t>，</w:t>
      </w:r>
      <w:r>
        <w:rPr>
          <w:rFonts w:ascii="宋体" w:hAnsi="宋体"/>
          <w:sz w:val="24"/>
        </w:rPr>
        <w:t>完成系统缺陷修复。</w:t>
      </w:r>
      <w:r>
        <w:rPr>
          <w:rFonts w:hint="eastAsia" w:ascii="宋体" w:hAnsi="宋体"/>
          <w:sz w:val="24"/>
        </w:rPr>
        <w:t>根据漏洞扫描情况进行分析，并完成补丁升级。</w:t>
      </w:r>
    </w:p>
    <w:p>
      <w:pPr>
        <w:numPr>
          <w:ilvl w:val="0"/>
          <w:numId w:val="8"/>
        </w:numPr>
        <w:spacing w:line="360" w:lineRule="auto"/>
        <w:ind w:firstLine="480" w:firstLineChars="200"/>
        <w:rPr>
          <w:rFonts w:hint="eastAsia" w:ascii="宋体" w:hAnsi="宋体"/>
          <w:sz w:val="24"/>
        </w:rPr>
      </w:pPr>
      <w:r>
        <w:rPr>
          <w:rFonts w:ascii="宋体" w:hAnsi="宋体"/>
          <w:sz w:val="24"/>
        </w:rPr>
        <w:t>工单处理</w:t>
      </w:r>
    </w:p>
    <w:p>
      <w:pPr>
        <w:spacing w:line="360" w:lineRule="auto"/>
        <w:ind w:firstLine="480" w:firstLineChars="200"/>
        <w:rPr>
          <w:rFonts w:hint="eastAsia" w:ascii="宋体" w:hAnsi="宋体"/>
          <w:sz w:val="24"/>
        </w:rPr>
      </w:pPr>
      <w:r>
        <w:rPr>
          <w:rFonts w:ascii="宋体" w:hAnsi="宋体"/>
          <w:sz w:val="24"/>
        </w:rPr>
        <w:t>按照甲方要求时限处理ITSM工作单，及时反馈问题原因及解决方案，出具取数及修数操作控制表。</w:t>
      </w:r>
    </w:p>
    <w:p>
      <w:pPr>
        <w:numPr>
          <w:ilvl w:val="0"/>
          <w:numId w:val="8"/>
        </w:numPr>
        <w:spacing w:line="360" w:lineRule="auto"/>
        <w:ind w:firstLine="480" w:firstLineChars="200"/>
        <w:rPr>
          <w:rFonts w:hint="eastAsia" w:ascii="宋体" w:hAnsi="宋体"/>
          <w:sz w:val="24"/>
        </w:rPr>
      </w:pPr>
      <w:r>
        <w:rPr>
          <w:rFonts w:ascii="宋体" w:hAnsi="宋体"/>
          <w:sz w:val="24"/>
        </w:rPr>
        <w:t>测试环境维护</w:t>
      </w:r>
    </w:p>
    <w:p>
      <w:pPr>
        <w:spacing w:line="360" w:lineRule="auto"/>
        <w:ind w:firstLine="480" w:firstLineChars="200"/>
        <w:rPr>
          <w:rFonts w:hint="eastAsia" w:ascii="宋体" w:hAnsi="宋体"/>
          <w:sz w:val="24"/>
        </w:rPr>
      </w:pPr>
      <w:r>
        <w:rPr>
          <w:rFonts w:ascii="宋体" w:hAnsi="宋体"/>
          <w:sz w:val="24"/>
        </w:rPr>
        <w:t>根据系统测试工作，对测试环境相关应用模块进行相关的维护，保证测试环境的正常使用。配合其它系统开展测试、跑批供数等工作。</w:t>
      </w:r>
    </w:p>
    <w:p>
      <w:pPr>
        <w:numPr>
          <w:ilvl w:val="0"/>
          <w:numId w:val="8"/>
        </w:numPr>
        <w:spacing w:line="360" w:lineRule="auto"/>
        <w:ind w:firstLine="480" w:firstLineChars="200"/>
        <w:rPr>
          <w:rFonts w:hint="eastAsia" w:ascii="宋体" w:hAnsi="宋体"/>
          <w:sz w:val="24"/>
        </w:rPr>
      </w:pPr>
      <w:r>
        <w:rPr>
          <w:rFonts w:ascii="宋体" w:hAnsi="宋体"/>
          <w:sz w:val="24"/>
        </w:rPr>
        <w:t>协助生产操作</w:t>
      </w:r>
    </w:p>
    <w:p>
      <w:pPr>
        <w:spacing w:line="360" w:lineRule="auto"/>
        <w:ind w:firstLine="480" w:firstLineChars="200"/>
        <w:rPr>
          <w:rFonts w:hint="eastAsia" w:ascii="宋体" w:hAnsi="宋体"/>
          <w:sz w:val="24"/>
        </w:rPr>
      </w:pPr>
      <w:r>
        <w:rPr>
          <w:rFonts w:ascii="宋体" w:hAnsi="宋体"/>
          <w:sz w:val="24"/>
        </w:rPr>
        <w:t>依据甲方工作安排，协助甲方完成数据变更、程序变更、数据取用等生产操作。</w:t>
      </w:r>
    </w:p>
    <w:p>
      <w:pPr>
        <w:numPr>
          <w:ilvl w:val="0"/>
          <w:numId w:val="8"/>
        </w:numPr>
        <w:spacing w:line="360" w:lineRule="auto"/>
        <w:ind w:firstLine="480" w:firstLineChars="200"/>
        <w:rPr>
          <w:rFonts w:hint="eastAsia" w:ascii="宋体" w:hAnsi="宋体"/>
          <w:sz w:val="24"/>
        </w:rPr>
      </w:pPr>
      <w:r>
        <w:rPr>
          <w:rFonts w:ascii="宋体" w:hAnsi="宋体"/>
          <w:sz w:val="24"/>
        </w:rPr>
        <w:t>批量支持服务</w:t>
      </w:r>
    </w:p>
    <w:p>
      <w:pPr>
        <w:spacing w:line="360" w:lineRule="auto"/>
        <w:ind w:firstLine="480" w:firstLineChars="200"/>
        <w:rPr>
          <w:rFonts w:hint="eastAsia" w:ascii="宋体" w:hAnsi="宋体"/>
          <w:sz w:val="24"/>
        </w:rPr>
      </w:pPr>
      <w:r>
        <w:rPr>
          <w:rFonts w:ascii="宋体" w:hAnsi="宋体"/>
          <w:sz w:val="24"/>
        </w:rPr>
        <w:t>系统批量异常时，视情况提供远程或现场支持，提供解决方案，保证系统批量正常运行。</w:t>
      </w:r>
    </w:p>
    <w:p>
      <w:pPr>
        <w:numPr>
          <w:ilvl w:val="0"/>
          <w:numId w:val="8"/>
        </w:numPr>
        <w:spacing w:line="360" w:lineRule="auto"/>
        <w:ind w:firstLine="480" w:firstLineChars="200"/>
        <w:rPr>
          <w:rFonts w:hint="eastAsia" w:ascii="宋体" w:hAnsi="宋体"/>
          <w:sz w:val="24"/>
        </w:rPr>
      </w:pPr>
      <w:r>
        <w:rPr>
          <w:rFonts w:ascii="宋体" w:hAnsi="宋体"/>
          <w:sz w:val="24"/>
        </w:rPr>
        <w:t>年终决算支持</w:t>
      </w:r>
    </w:p>
    <w:p>
      <w:pPr>
        <w:spacing w:line="360" w:lineRule="auto"/>
        <w:ind w:firstLine="480" w:firstLineChars="200"/>
        <w:rPr>
          <w:rFonts w:hint="eastAsia" w:ascii="宋体" w:hAnsi="宋体"/>
          <w:sz w:val="24"/>
        </w:rPr>
      </w:pPr>
      <w:r>
        <w:rPr>
          <w:rFonts w:ascii="宋体" w:hAnsi="宋体"/>
          <w:sz w:val="24"/>
        </w:rPr>
        <w:t>根据甲方要求制定并完善系统年终决算方案，参与演练，并提供年终决算现场支持服务。</w:t>
      </w:r>
    </w:p>
    <w:p>
      <w:pPr>
        <w:numPr>
          <w:ilvl w:val="0"/>
          <w:numId w:val="8"/>
        </w:numPr>
        <w:spacing w:line="360" w:lineRule="auto"/>
        <w:ind w:firstLine="480" w:firstLineChars="200"/>
        <w:rPr>
          <w:rFonts w:hint="eastAsia" w:ascii="宋体" w:hAnsi="宋体"/>
          <w:sz w:val="24"/>
        </w:rPr>
      </w:pPr>
      <w:r>
        <w:rPr>
          <w:rFonts w:ascii="宋体" w:hAnsi="宋体"/>
          <w:sz w:val="24"/>
        </w:rPr>
        <w:t>文档编写服务</w:t>
      </w:r>
    </w:p>
    <w:p>
      <w:pPr>
        <w:spacing w:line="360" w:lineRule="auto"/>
        <w:ind w:firstLine="480" w:firstLineChars="200"/>
        <w:rPr>
          <w:rFonts w:hint="eastAsia" w:ascii="宋体" w:hAnsi="宋体"/>
          <w:sz w:val="24"/>
        </w:rPr>
      </w:pPr>
      <w:r>
        <w:rPr>
          <w:rFonts w:ascii="宋体" w:hAnsi="宋体"/>
          <w:sz w:val="24"/>
        </w:rPr>
        <w:t>根据甲方要求编制并更新各类运维文档，定期提交运维总结报告。</w:t>
      </w:r>
    </w:p>
    <w:p>
      <w:pPr>
        <w:numPr>
          <w:ilvl w:val="0"/>
          <w:numId w:val="8"/>
        </w:numPr>
        <w:spacing w:line="360" w:lineRule="auto"/>
        <w:ind w:firstLine="480" w:firstLineChars="200"/>
        <w:rPr>
          <w:rFonts w:hint="eastAsia" w:ascii="宋体" w:hAnsi="宋体"/>
          <w:sz w:val="24"/>
        </w:rPr>
      </w:pPr>
      <w:r>
        <w:rPr>
          <w:rFonts w:ascii="宋体" w:hAnsi="宋体"/>
          <w:sz w:val="24"/>
        </w:rPr>
        <w:t>培训</w:t>
      </w:r>
    </w:p>
    <w:p>
      <w:pPr>
        <w:spacing w:line="360" w:lineRule="auto"/>
        <w:ind w:firstLine="480" w:firstLineChars="200"/>
        <w:rPr>
          <w:rFonts w:hint="eastAsia" w:ascii="宋体" w:hAnsi="宋体"/>
          <w:sz w:val="24"/>
        </w:rPr>
      </w:pPr>
      <w:r>
        <w:rPr>
          <w:rFonts w:ascii="宋体" w:hAnsi="宋体"/>
          <w:sz w:val="24"/>
        </w:rPr>
        <w:t>为甲方提供相关培训服务，包括系统业务功能、系统操作、技术运维等内容。</w:t>
      </w:r>
    </w:p>
    <w:p>
      <w:pPr>
        <w:numPr>
          <w:ilvl w:val="0"/>
          <w:numId w:val="8"/>
        </w:numPr>
        <w:spacing w:line="360" w:lineRule="auto"/>
        <w:ind w:firstLine="480" w:firstLineChars="200"/>
        <w:rPr>
          <w:rFonts w:hint="eastAsia" w:ascii="宋体" w:hAnsi="宋体"/>
          <w:sz w:val="24"/>
        </w:rPr>
      </w:pPr>
      <w:r>
        <w:rPr>
          <w:rFonts w:ascii="宋体" w:hAnsi="宋体"/>
          <w:sz w:val="24"/>
        </w:rPr>
        <w:t>配合安全演练</w:t>
      </w:r>
    </w:p>
    <w:p>
      <w:pPr>
        <w:spacing w:line="360" w:lineRule="auto"/>
        <w:ind w:firstLine="480" w:firstLineChars="200"/>
        <w:rPr>
          <w:rFonts w:hint="eastAsia" w:ascii="宋体" w:hAnsi="宋体"/>
          <w:sz w:val="24"/>
        </w:rPr>
      </w:pPr>
      <w:r>
        <w:rPr>
          <w:rFonts w:ascii="宋体" w:hAnsi="宋体"/>
          <w:sz w:val="24"/>
        </w:rPr>
        <w:t>配合甲方开展应急安全演练，包括应用侧操作、技术验证等工作。</w:t>
      </w:r>
    </w:p>
    <w:p>
      <w:pPr>
        <w:numPr>
          <w:ilvl w:val="0"/>
          <w:numId w:val="8"/>
        </w:numPr>
        <w:spacing w:line="360" w:lineRule="auto"/>
        <w:ind w:firstLine="480" w:firstLineChars="200"/>
        <w:rPr>
          <w:rFonts w:hint="eastAsia" w:ascii="宋体" w:hAnsi="宋体"/>
          <w:sz w:val="24"/>
        </w:rPr>
      </w:pPr>
      <w:r>
        <w:rPr>
          <w:rFonts w:ascii="宋体" w:hAnsi="宋体"/>
          <w:sz w:val="24"/>
        </w:rPr>
        <w:t>配合审计</w:t>
      </w:r>
    </w:p>
    <w:p>
      <w:pPr>
        <w:spacing w:line="360" w:lineRule="auto"/>
        <w:ind w:firstLine="480" w:firstLineChars="200"/>
        <w:rPr>
          <w:rFonts w:hint="eastAsia" w:ascii="宋体" w:hAnsi="宋体"/>
          <w:sz w:val="24"/>
        </w:rPr>
      </w:pPr>
      <w:r>
        <w:rPr>
          <w:rFonts w:ascii="宋体" w:hAnsi="宋体"/>
          <w:sz w:val="24"/>
        </w:rPr>
        <w:t>配合甲方进行审计工作，具体工作内容以实际工作要求为准。</w:t>
      </w:r>
    </w:p>
    <w:p>
      <w:pPr>
        <w:numPr>
          <w:ilvl w:val="0"/>
          <w:numId w:val="8"/>
        </w:numPr>
        <w:spacing w:line="360" w:lineRule="auto"/>
        <w:ind w:firstLine="480" w:firstLineChars="200"/>
        <w:rPr>
          <w:rFonts w:hint="eastAsia" w:ascii="宋体" w:hAnsi="宋体"/>
          <w:sz w:val="24"/>
        </w:rPr>
      </w:pPr>
      <w:r>
        <w:rPr>
          <w:rFonts w:ascii="宋体" w:hAnsi="宋体"/>
          <w:sz w:val="24"/>
        </w:rPr>
        <w:t>其他</w:t>
      </w:r>
    </w:p>
    <w:p>
      <w:pPr>
        <w:spacing w:line="360" w:lineRule="auto"/>
        <w:ind w:firstLine="480" w:firstLineChars="200"/>
        <w:rPr>
          <w:rFonts w:hint="eastAsia" w:ascii="宋体" w:hAnsi="宋体"/>
          <w:sz w:val="24"/>
        </w:rPr>
      </w:pPr>
      <w:r>
        <w:rPr>
          <w:rFonts w:ascii="宋体" w:hAnsi="宋体"/>
          <w:sz w:val="24"/>
        </w:rPr>
        <w:t>配合关联系统进行问题排查；配合基础设施升级、</w:t>
      </w:r>
      <w:r>
        <w:rPr>
          <w:rFonts w:hint="eastAsia" w:ascii="宋体" w:hAnsi="宋体"/>
          <w:sz w:val="24"/>
        </w:rPr>
        <w:t>系统性能优化、开源软件扫描</w:t>
      </w:r>
      <w:r>
        <w:rPr>
          <w:rFonts w:ascii="宋体" w:hAnsi="宋体"/>
          <w:sz w:val="24"/>
        </w:rPr>
        <w:t>等</w:t>
      </w:r>
      <w:r>
        <w:rPr>
          <w:rFonts w:hint="eastAsia" w:ascii="宋体" w:hAnsi="宋体"/>
          <w:sz w:val="24"/>
        </w:rPr>
        <w:t>工作</w:t>
      </w:r>
      <w:r>
        <w:rPr>
          <w:rFonts w:ascii="宋体" w:hAnsi="宋体"/>
          <w:sz w:val="24"/>
        </w:rPr>
        <w:t>制定应用相关工作方案；重大投产日、重大节假日的工作安排依据甲方要求进行；甲方安排的其他工作</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（三）供应商提供生产环境下，境外外币资金交易系统产品使用许可，同时提供原厂标准产品维护以及延续使用许可期的配套服务。</w:t>
      </w:r>
    </w:p>
    <w:p>
      <w:pPr>
        <w:pStyle w:val="11"/>
        <w:adjustRightInd w:val="0"/>
        <w:spacing w:before="0" w:after="0" w:line="360" w:lineRule="auto"/>
        <w:ind w:firstLine="480" w:firstLineChars="200"/>
        <w:jc w:val="both"/>
        <w:textAlignment w:val="baseline"/>
        <w:rPr>
          <w:rFonts w:hint="eastAsia" w:ascii="宋体" w:hAnsi="宋体"/>
          <w:b w:val="0"/>
          <w:bCs w:val="0"/>
          <w:sz w:val="24"/>
          <w:szCs w:val="24"/>
        </w:rPr>
      </w:pPr>
      <w:bookmarkStart w:id="6" w:name="_Toc4840"/>
      <w:r>
        <w:rPr>
          <w:rFonts w:ascii="宋体" w:hAnsi="宋体"/>
          <w:b w:val="0"/>
          <w:bCs w:val="0"/>
          <w:sz w:val="24"/>
          <w:szCs w:val="24"/>
        </w:rPr>
        <w:t>五、服务要求</w:t>
      </w:r>
      <w:bookmarkEnd w:id="6"/>
    </w:p>
    <w:p>
      <w:pPr>
        <w:pStyle w:val="7"/>
        <w:numPr>
          <w:ilvl w:val="0"/>
          <w:numId w:val="0"/>
        </w:numPr>
        <w:adjustRightInd w:val="0"/>
        <w:spacing w:line="360" w:lineRule="auto"/>
        <w:ind w:firstLine="480" w:firstLineChars="200"/>
        <w:rPr>
          <w:rFonts w:hint="eastAsia" w:ascii="宋体" w:hAnsi="宋体"/>
          <w:sz w:val="24"/>
        </w:rPr>
      </w:pPr>
      <w:r>
        <w:rPr>
          <w:rFonts w:ascii="宋体" w:hAnsi="宋体"/>
          <w:sz w:val="24"/>
        </w:rPr>
        <w:t>服务要求根据重要性分为</w:t>
      </w:r>
      <w:r>
        <w:rPr>
          <w:rFonts w:hint="eastAsia" w:ascii="宋体" w:hAnsi="宋体"/>
          <w:sz w:val="24"/>
        </w:rPr>
        <w:t>“</w:t>
      </w:r>
      <w:r>
        <w:rPr>
          <w:rFonts w:ascii="宋体" w:hAnsi="宋体"/>
          <w:sz w:val="24"/>
        </w:rPr>
        <w:t>★</w:t>
      </w:r>
      <w:r>
        <w:rPr>
          <w:rFonts w:hint="eastAsia" w:ascii="宋体" w:hAnsi="宋体"/>
          <w:sz w:val="24"/>
        </w:rPr>
        <w:t>”、“</w:t>
      </w:r>
      <w:r>
        <w:rPr>
          <w:rFonts w:ascii="宋体" w:hAnsi="宋体"/>
          <w:sz w:val="24"/>
        </w:rPr>
        <w:t>＃</w:t>
      </w:r>
      <w:r>
        <w:rPr>
          <w:rFonts w:hint="eastAsia" w:ascii="宋体" w:hAnsi="宋体"/>
          <w:sz w:val="24"/>
        </w:rPr>
        <w:t>”</w:t>
      </w:r>
      <w:r>
        <w:rPr>
          <w:rFonts w:ascii="宋体" w:hAnsi="宋体"/>
          <w:sz w:val="24"/>
        </w:rPr>
        <w:t>和一般性指标。★代表实质性要求，不满足该指标项将导致投标被拒绝，＃代表重要性参数，无标识则表示一般指标项。</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9"/>
        <w:gridCol w:w="1048"/>
        <w:gridCol w:w="994"/>
        <w:gridCol w:w="5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noWrap w:val="0"/>
            <w:vAlign w:val="center"/>
          </w:tcPr>
          <w:p>
            <w:pPr>
              <w:jc w:val="center"/>
              <w:rPr>
                <w:rFonts w:hint="eastAsia" w:ascii="宋体" w:hAnsi="宋体"/>
                <w:b/>
                <w:bCs/>
                <w:sz w:val="24"/>
              </w:rPr>
            </w:pPr>
            <w:r>
              <w:rPr>
                <w:rFonts w:ascii="宋体" w:hAnsi="宋体"/>
                <w:b/>
                <w:bCs/>
                <w:sz w:val="24"/>
              </w:rPr>
              <w:t>序号</w:t>
            </w:r>
          </w:p>
        </w:tc>
        <w:tc>
          <w:tcPr>
            <w:tcW w:w="615" w:type="pct"/>
            <w:noWrap w:val="0"/>
            <w:vAlign w:val="center"/>
          </w:tcPr>
          <w:p>
            <w:pPr>
              <w:jc w:val="center"/>
              <w:rPr>
                <w:rFonts w:hint="eastAsia" w:ascii="宋体" w:hAnsi="宋体"/>
                <w:b/>
                <w:bCs/>
                <w:sz w:val="24"/>
              </w:rPr>
            </w:pPr>
            <w:r>
              <w:rPr>
                <w:rFonts w:ascii="宋体" w:hAnsi="宋体"/>
                <w:b/>
                <w:bCs/>
                <w:sz w:val="24"/>
              </w:rPr>
              <w:t>服务要求项目</w:t>
            </w:r>
          </w:p>
        </w:tc>
        <w:tc>
          <w:tcPr>
            <w:tcW w:w="583" w:type="pct"/>
            <w:noWrap w:val="0"/>
            <w:vAlign w:val="center"/>
          </w:tcPr>
          <w:p>
            <w:pPr>
              <w:jc w:val="center"/>
              <w:rPr>
                <w:rFonts w:hint="eastAsia" w:ascii="宋体" w:hAnsi="宋体"/>
                <w:b/>
                <w:bCs/>
                <w:sz w:val="24"/>
              </w:rPr>
            </w:pPr>
            <w:r>
              <w:rPr>
                <w:rFonts w:ascii="宋体" w:hAnsi="宋体"/>
                <w:b/>
                <w:bCs/>
                <w:sz w:val="24"/>
              </w:rPr>
              <w:t>重要性</w:t>
            </w:r>
          </w:p>
        </w:tc>
        <w:tc>
          <w:tcPr>
            <w:tcW w:w="3440" w:type="pct"/>
            <w:noWrap w:val="0"/>
            <w:vAlign w:val="center"/>
          </w:tcPr>
          <w:p>
            <w:pPr>
              <w:jc w:val="center"/>
              <w:rPr>
                <w:rFonts w:hint="eastAsia" w:ascii="宋体" w:hAnsi="宋体"/>
                <w:b/>
                <w:bCs/>
                <w:sz w:val="24"/>
              </w:rPr>
            </w:pPr>
            <w:r>
              <w:rPr>
                <w:rFonts w:ascii="宋体" w:hAnsi="宋体"/>
                <w:b/>
                <w:bCs/>
                <w:sz w:val="24"/>
              </w:rPr>
              <w:t>服务要求标准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363" w:type="pct"/>
            <w:noWrap w:val="0"/>
            <w:vAlign w:val="center"/>
          </w:tcPr>
          <w:p>
            <w:pPr>
              <w:jc w:val="center"/>
              <w:rPr>
                <w:rFonts w:hint="eastAsia" w:ascii="宋体" w:hAnsi="宋体"/>
                <w:sz w:val="24"/>
              </w:rPr>
            </w:pPr>
            <w:r>
              <w:rPr>
                <w:rFonts w:ascii="宋体" w:hAnsi="宋体"/>
                <w:sz w:val="24"/>
              </w:rPr>
              <w:t>1</w:t>
            </w:r>
          </w:p>
        </w:tc>
        <w:tc>
          <w:tcPr>
            <w:tcW w:w="615" w:type="pct"/>
            <w:noWrap w:val="0"/>
            <w:vAlign w:val="center"/>
          </w:tcPr>
          <w:p>
            <w:pPr>
              <w:jc w:val="center"/>
              <w:rPr>
                <w:rFonts w:hint="eastAsia" w:ascii="宋体" w:hAnsi="宋体"/>
                <w:sz w:val="24"/>
              </w:rPr>
            </w:pPr>
            <w:r>
              <w:rPr>
                <w:rFonts w:hint="eastAsia" w:ascii="宋体" w:hAnsi="宋体"/>
                <w:sz w:val="24"/>
              </w:rPr>
              <w:t>知识产权要求</w:t>
            </w:r>
          </w:p>
        </w:tc>
        <w:tc>
          <w:tcPr>
            <w:tcW w:w="583" w:type="pct"/>
            <w:noWrap w:val="0"/>
            <w:vAlign w:val="center"/>
          </w:tcPr>
          <w:p>
            <w:pPr>
              <w:jc w:val="center"/>
              <w:rPr>
                <w:rFonts w:hint="eastAsia" w:ascii="宋体" w:hAnsi="宋体"/>
                <w:sz w:val="24"/>
              </w:rPr>
            </w:pPr>
          </w:p>
        </w:tc>
        <w:tc>
          <w:tcPr>
            <w:tcW w:w="3440" w:type="pct"/>
            <w:noWrap w:val="0"/>
            <w:vAlign w:val="center"/>
          </w:tcPr>
          <w:p>
            <w:pPr>
              <w:pStyle w:val="8"/>
              <w:spacing w:after="0"/>
              <w:rPr>
                <w:rFonts w:hint="eastAsia" w:ascii="宋体" w:hAnsi="宋体"/>
                <w:sz w:val="24"/>
                <w:szCs w:val="24"/>
              </w:rPr>
            </w:pPr>
            <w:r>
              <w:rPr>
                <w:rFonts w:ascii="宋体" w:hAnsi="宋体"/>
                <w:sz w:val="24"/>
                <w:szCs w:val="24"/>
              </w:rPr>
              <w:t>要求乙方必须对该产品拥有完全的知识产权；使用非自身产品的，必须有原厂商对该产品的授权经销商或者有原厂商对本项目的书面授权。</w:t>
            </w:r>
          </w:p>
          <w:p>
            <w:pPr>
              <w:pStyle w:val="8"/>
              <w:spacing w:after="0"/>
              <w:rPr>
                <w:rFonts w:hint="eastAsia" w:ascii="宋体" w:hAnsi="宋体"/>
                <w:sz w:val="24"/>
                <w:szCs w:val="24"/>
              </w:rPr>
            </w:pPr>
            <w:r>
              <w:rPr>
                <w:rFonts w:ascii="宋体" w:hAnsi="宋体"/>
                <w:sz w:val="24"/>
                <w:szCs w:val="24"/>
              </w:rPr>
              <w:t>客户化部分源代码知识产权归进出口银行所有。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noWrap w:val="0"/>
            <w:vAlign w:val="center"/>
          </w:tcPr>
          <w:p>
            <w:pPr>
              <w:jc w:val="center"/>
              <w:rPr>
                <w:rFonts w:hint="eastAsia" w:ascii="宋体" w:hAnsi="宋体"/>
                <w:sz w:val="24"/>
              </w:rPr>
            </w:pPr>
            <w:r>
              <w:rPr>
                <w:rFonts w:hint="eastAsia" w:ascii="宋体" w:hAnsi="宋体"/>
                <w:sz w:val="24"/>
              </w:rPr>
              <w:t>2</w:t>
            </w:r>
          </w:p>
        </w:tc>
        <w:tc>
          <w:tcPr>
            <w:tcW w:w="615" w:type="pct"/>
            <w:noWrap w:val="0"/>
            <w:vAlign w:val="center"/>
          </w:tcPr>
          <w:p>
            <w:pPr>
              <w:jc w:val="center"/>
              <w:rPr>
                <w:rFonts w:hint="eastAsia" w:ascii="宋体" w:hAnsi="宋体"/>
                <w:sz w:val="24"/>
              </w:rPr>
            </w:pPr>
            <w:r>
              <w:rPr>
                <w:rFonts w:hint="eastAsia" w:ascii="宋体" w:hAnsi="宋体"/>
                <w:sz w:val="24"/>
              </w:rPr>
              <w:t>项目实施要求</w:t>
            </w:r>
          </w:p>
        </w:tc>
        <w:tc>
          <w:tcPr>
            <w:tcW w:w="583" w:type="pct"/>
            <w:noWrap w:val="0"/>
            <w:vAlign w:val="center"/>
          </w:tcPr>
          <w:p>
            <w:pPr>
              <w:jc w:val="center"/>
              <w:rPr>
                <w:rFonts w:hint="eastAsia" w:ascii="宋体" w:hAnsi="宋体"/>
                <w:sz w:val="24"/>
              </w:rPr>
            </w:pPr>
          </w:p>
        </w:tc>
        <w:tc>
          <w:tcPr>
            <w:tcW w:w="3440" w:type="pct"/>
            <w:noWrap w:val="0"/>
            <w:vAlign w:val="center"/>
          </w:tcPr>
          <w:p>
            <w:pPr>
              <w:pStyle w:val="8"/>
              <w:spacing w:after="0"/>
              <w:rPr>
                <w:rFonts w:hint="eastAsia" w:ascii="宋体" w:hAnsi="宋体"/>
                <w:sz w:val="24"/>
                <w:szCs w:val="24"/>
              </w:rPr>
            </w:pPr>
            <w:r>
              <w:rPr>
                <w:rFonts w:ascii="宋体" w:hAnsi="宋体"/>
                <w:sz w:val="24"/>
                <w:szCs w:val="24"/>
              </w:rPr>
              <w:t>1.乙方在实施过程中应遵循甲方制定的总体技术架构、技术规范、安全规范、应用整合平台和数据整合平台的接入要求等规范要求，服从甲方的技术管理，并根据甲方要求安排架构师参加甲方召集的架构讨论会议。</w:t>
            </w:r>
          </w:p>
          <w:p>
            <w:pPr>
              <w:pStyle w:val="8"/>
              <w:spacing w:after="0"/>
              <w:rPr>
                <w:rFonts w:hint="eastAsia" w:ascii="宋体" w:hAnsi="宋体"/>
                <w:sz w:val="24"/>
                <w:szCs w:val="24"/>
              </w:rPr>
            </w:pPr>
            <w:r>
              <w:rPr>
                <w:rFonts w:ascii="宋体" w:hAnsi="宋体"/>
                <w:sz w:val="24"/>
                <w:szCs w:val="24"/>
              </w:rPr>
              <w:t>2.乙方应对本项目的需求内容以及范围进行充分和正确的理解，并且保证在实施方案中体现的软件、硬件、设计方案与实施服务是完备和可行的。</w:t>
            </w:r>
          </w:p>
          <w:p>
            <w:pPr>
              <w:pStyle w:val="8"/>
              <w:spacing w:after="0"/>
              <w:rPr>
                <w:rFonts w:hint="eastAsia" w:ascii="宋体" w:hAnsi="宋体"/>
                <w:sz w:val="24"/>
                <w:szCs w:val="24"/>
              </w:rPr>
            </w:pPr>
            <w:r>
              <w:rPr>
                <w:rFonts w:ascii="宋体" w:hAnsi="宋体"/>
                <w:sz w:val="24"/>
                <w:szCs w:val="24"/>
              </w:rPr>
              <w:t>3.乙方在实施过程中若发现有与其自身解决方案有关的遗漏或不可行，应首先向甲方提出解决方案，在甲方同意后及时解决。若乙方的解决方案与甲方的总体架构有冲突或影响其它关联项目，则甲方有最终的建议权与否决权，乙方须按照甲方决定的方案和计划予以完成。</w:t>
            </w:r>
          </w:p>
          <w:p>
            <w:pPr>
              <w:pStyle w:val="8"/>
              <w:spacing w:after="0"/>
              <w:rPr>
                <w:rFonts w:hint="eastAsia" w:ascii="宋体" w:hAnsi="宋体"/>
                <w:sz w:val="24"/>
                <w:szCs w:val="24"/>
              </w:rPr>
            </w:pPr>
            <w:r>
              <w:rPr>
                <w:rFonts w:ascii="宋体" w:hAnsi="宋体"/>
                <w:sz w:val="24"/>
                <w:szCs w:val="24"/>
              </w:rPr>
              <w:t>4.乙方能够满足甲方在项目实施过程中对开发、测试的要求，并支持通过开发实现对未来业务和技术功能的扩展。</w:t>
            </w:r>
          </w:p>
          <w:p>
            <w:pPr>
              <w:pStyle w:val="8"/>
              <w:spacing w:after="0"/>
              <w:rPr>
                <w:rFonts w:hint="eastAsia" w:ascii="宋体" w:hAnsi="宋体"/>
                <w:sz w:val="24"/>
                <w:szCs w:val="24"/>
              </w:rPr>
            </w:pPr>
            <w:r>
              <w:rPr>
                <w:rFonts w:ascii="宋体" w:hAnsi="宋体"/>
                <w:sz w:val="24"/>
                <w:szCs w:val="24"/>
              </w:rPr>
              <w:t>5.乙方在项目的需求阶段、设计阶段、开发阶段、系统集成测试阶段、系统测试阶段、用户验收测试阶段、投产准备阶段完成后，以及保修期内每次变更前，应按照甲方配置管理要求，正式向甲方提交各阶段交付物的最终版本。各阶段交付物的过程版本应由乙方自行妥善管理，并形成相应的需求基线、设计基线、开发基线、系统集成测试基线、系统测试基线、用户验收测试基线、投产基线、运行维护基线（保修期内）等。</w:t>
            </w:r>
          </w:p>
          <w:p>
            <w:pPr>
              <w:pStyle w:val="8"/>
              <w:spacing w:after="0"/>
              <w:rPr>
                <w:rFonts w:hint="eastAsia" w:ascii="宋体" w:hAnsi="宋体"/>
                <w:sz w:val="24"/>
                <w:szCs w:val="24"/>
              </w:rPr>
            </w:pPr>
            <w:r>
              <w:rPr>
                <w:rFonts w:ascii="宋体" w:hAnsi="宋体"/>
                <w:sz w:val="24"/>
                <w:szCs w:val="24"/>
              </w:rPr>
              <w:t>6.乙方提交的代码应满足甲方漏洞扫描及渗透性测试要求。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noWrap w:val="0"/>
            <w:vAlign w:val="center"/>
          </w:tcPr>
          <w:p>
            <w:pPr>
              <w:jc w:val="center"/>
              <w:rPr>
                <w:rFonts w:hint="eastAsia" w:ascii="宋体" w:hAnsi="宋体"/>
                <w:sz w:val="24"/>
              </w:rPr>
            </w:pPr>
            <w:bookmarkStart w:id="7" w:name="_Toc26244"/>
            <w:r>
              <w:rPr>
                <w:rFonts w:hint="eastAsia" w:ascii="宋体" w:hAnsi="宋体"/>
                <w:sz w:val="24"/>
              </w:rPr>
              <w:t>3</w:t>
            </w:r>
          </w:p>
        </w:tc>
        <w:tc>
          <w:tcPr>
            <w:tcW w:w="615" w:type="pct"/>
            <w:noWrap w:val="0"/>
            <w:vAlign w:val="center"/>
          </w:tcPr>
          <w:p>
            <w:pPr>
              <w:jc w:val="center"/>
              <w:rPr>
                <w:rFonts w:hint="eastAsia" w:ascii="宋体" w:hAnsi="宋体"/>
                <w:sz w:val="24"/>
              </w:rPr>
            </w:pPr>
            <w:r>
              <w:rPr>
                <w:rFonts w:hint="eastAsia" w:ascii="宋体" w:hAnsi="宋体"/>
                <w:sz w:val="24"/>
              </w:rPr>
              <w:t>培训及知识转移要求</w:t>
            </w:r>
          </w:p>
        </w:tc>
        <w:tc>
          <w:tcPr>
            <w:tcW w:w="583" w:type="pct"/>
            <w:noWrap w:val="0"/>
            <w:vAlign w:val="center"/>
          </w:tcPr>
          <w:p>
            <w:pPr>
              <w:jc w:val="center"/>
              <w:rPr>
                <w:rFonts w:hint="eastAsia" w:ascii="宋体" w:hAnsi="宋体"/>
                <w:sz w:val="24"/>
              </w:rPr>
            </w:pPr>
          </w:p>
        </w:tc>
        <w:tc>
          <w:tcPr>
            <w:tcW w:w="3440" w:type="pct"/>
            <w:noWrap w:val="0"/>
            <w:vAlign w:val="center"/>
          </w:tcPr>
          <w:p>
            <w:pPr>
              <w:pStyle w:val="8"/>
              <w:spacing w:after="0"/>
              <w:rPr>
                <w:rFonts w:hint="eastAsia" w:ascii="宋体" w:hAnsi="宋体"/>
                <w:sz w:val="24"/>
                <w:szCs w:val="24"/>
                <w:lang w:val="zh-CN"/>
              </w:rPr>
            </w:pPr>
            <w:bookmarkStart w:id="8" w:name="_Toc464052539"/>
            <w:bookmarkStart w:id="9" w:name="_Toc57912827"/>
            <w:r>
              <w:rPr>
                <w:rFonts w:ascii="宋体" w:hAnsi="宋体"/>
                <w:sz w:val="24"/>
                <w:szCs w:val="24"/>
                <w:lang w:val="zh-CN"/>
              </w:rPr>
              <w:t>（一）培训对象</w:t>
            </w:r>
            <w:bookmarkEnd w:id="8"/>
            <w:bookmarkEnd w:id="9"/>
            <w:r>
              <w:rPr>
                <w:rFonts w:hint="eastAsia" w:ascii="宋体" w:hAnsi="宋体"/>
                <w:sz w:val="24"/>
                <w:szCs w:val="24"/>
                <w:lang w:val="zh-CN"/>
              </w:rPr>
              <w:t>：</w:t>
            </w:r>
            <w:r>
              <w:rPr>
                <w:rFonts w:ascii="宋体" w:hAnsi="宋体"/>
                <w:sz w:val="24"/>
                <w:szCs w:val="24"/>
                <w:lang w:val="zh-CN"/>
              </w:rPr>
              <w:t>培训对象包括进出口银行的开发人员、系统运行维护管理人员，以及其他相关人员。</w:t>
            </w:r>
          </w:p>
          <w:p>
            <w:pPr>
              <w:pStyle w:val="8"/>
              <w:spacing w:after="0"/>
              <w:rPr>
                <w:rFonts w:hint="eastAsia" w:ascii="宋体" w:hAnsi="宋体"/>
                <w:sz w:val="24"/>
                <w:szCs w:val="24"/>
                <w:lang w:val="zh-CN"/>
              </w:rPr>
            </w:pPr>
            <w:bookmarkStart w:id="10" w:name="_Toc57912828"/>
            <w:bookmarkStart w:id="11" w:name="_Toc464052540"/>
            <w:r>
              <w:rPr>
                <w:rFonts w:ascii="宋体" w:hAnsi="宋体"/>
                <w:sz w:val="24"/>
                <w:szCs w:val="24"/>
                <w:lang w:val="zh-CN"/>
              </w:rPr>
              <w:t>（二）培训目标</w:t>
            </w:r>
            <w:bookmarkEnd w:id="10"/>
            <w:bookmarkEnd w:id="11"/>
            <w:r>
              <w:rPr>
                <w:rFonts w:hint="eastAsia" w:ascii="宋体" w:hAnsi="宋体"/>
                <w:sz w:val="24"/>
                <w:szCs w:val="24"/>
                <w:lang w:val="zh-CN"/>
              </w:rPr>
              <w:t>：</w:t>
            </w:r>
            <w:r>
              <w:rPr>
                <w:rFonts w:ascii="宋体" w:hAnsi="宋体"/>
                <w:sz w:val="24"/>
                <w:szCs w:val="24"/>
                <w:lang w:val="zh-CN"/>
              </w:rPr>
              <w:t>通过培训，应使上述人员掌握系统提供的内容和功能，以及使用权限划分与操作方式。</w:t>
            </w:r>
          </w:p>
          <w:p>
            <w:pPr>
              <w:pStyle w:val="8"/>
              <w:spacing w:after="0"/>
              <w:rPr>
                <w:rFonts w:hint="eastAsia" w:ascii="宋体" w:hAnsi="宋体"/>
                <w:sz w:val="24"/>
                <w:szCs w:val="24"/>
                <w:lang w:val="zh-CN"/>
              </w:rPr>
            </w:pPr>
            <w:bookmarkStart w:id="12" w:name="_Toc464052541"/>
            <w:bookmarkStart w:id="13" w:name="_Toc57912829"/>
            <w:r>
              <w:rPr>
                <w:rFonts w:ascii="宋体" w:hAnsi="宋体"/>
                <w:sz w:val="24"/>
                <w:szCs w:val="24"/>
                <w:lang w:val="zh-CN"/>
              </w:rPr>
              <w:t>（三）培训内容</w:t>
            </w:r>
            <w:bookmarkEnd w:id="12"/>
            <w:bookmarkEnd w:id="13"/>
            <w:r>
              <w:rPr>
                <w:rFonts w:hint="eastAsia" w:ascii="宋体" w:hAnsi="宋体"/>
                <w:sz w:val="24"/>
                <w:szCs w:val="24"/>
                <w:lang w:val="zh-CN"/>
              </w:rPr>
              <w:t>：</w:t>
            </w:r>
            <w:r>
              <w:rPr>
                <w:rFonts w:ascii="宋体" w:hAnsi="宋体"/>
                <w:sz w:val="24"/>
                <w:szCs w:val="24"/>
                <w:lang w:val="zh-CN"/>
              </w:rPr>
              <w:t>投标人应具有知识和技术转移的意愿，并阐述详细的实际措施，以对项目实施阶段的参与者及项目最终的使用和运维团队进行全面、有效的知识转移。投标人需向进出口银行提供系统在配置、开发、安装、使用、监控和维护等方面的培训。投标人须详细列出各阶段培训的服务清单和培训费用，服务清单包括培训内容、授课方式、培训对象、时间计划安排和培训反馈处理等，对项目实施阶段的参与者及项目最终的使用和运维团队进行全面、有效的知识转移，确保进出口银行形成一支熟悉系统运用和维护的专家队伍。</w:t>
            </w:r>
          </w:p>
          <w:p>
            <w:pPr>
              <w:pStyle w:val="8"/>
              <w:spacing w:after="0"/>
              <w:rPr>
                <w:rFonts w:hint="eastAsia" w:ascii="宋体" w:hAnsi="宋体"/>
                <w:sz w:val="24"/>
                <w:szCs w:val="24"/>
              </w:rPr>
            </w:pPr>
            <w:bookmarkStart w:id="14" w:name="_Toc57912830"/>
            <w:bookmarkStart w:id="15" w:name="_Toc464052542"/>
            <w:r>
              <w:rPr>
                <w:rFonts w:ascii="宋体" w:hAnsi="宋体"/>
                <w:sz w:val="24"/>
                <w:szCs w:val="24"/>
                <w:lang w:val="zh-CN"/>
              </w:rPr>
              <w:t>（四）培训材料</w:t>
            </w:r>
            <w:bookmarkEnd w:id="14"/>
            <w:bookmarkEnd w:id="15"/>
            <w:r>
              <w:rPr>
                <w:rFonts w:hint="eastAsia" w:ascii="宋体" w:hAnsi="宋体"/>
                <w:sz w:val="24"/>
                <w:szCs w:val="24"/>
                <w:lang w:val="zh-CN"/>
              </w:rPr>
              <w:t>：</w:t>
            </w:r>
            <w:r>
              <w:rPr>
                <w:rFonts w:ascii="宋体" w:hAnsi="宋体"/>
                <w:sz w:val="24"/>
                <w:szCs w:val="24"/>
                <w:lang w:val="zh-CN"/>
              </w:rPr>
              <w:t>投标人为所有被培训人员提供完备的文字资料（书面及电子版）和讲义（书面及电子版）等相关用品</w:t>
            </w:r>
            <w:r>
              <w:rPr>
                <w:rFonts w:hint="eastAsia" w:ascii="宋体" w:hAnsi="宋体"/>
                <w:sz w:val="24"/>
                <w:szCs w:val="24"/>
                <w:lang w:val="zh-CN"/>
              </w:rPr>
              <w:t>。</w:t>
            </w:r>
          </w:p>
        </w:tc>
      </w:tr>
    </w:tbl>
    <w:p>
      <w:pPr>
        <w:pStyle w:val="11"/>
        <w:adjustRightInd w:val="0"/>
        <w:spacing w:before="0" w:after="0" w:line="360" w:lineRule="auto"/>
        <w:ind w:firstLine="480" w:firstLineChars="200"/>
        <w:jc w:val="both"/>
        <w:textAlignment w:val="baseline"/>
        <w:rPr>
          <w:rFonts w:hint="eastAsia" w:ascii="宋体" w:hAnsi="宋体"/>
          <w:sz w:val="24"/>
          <w:szCs w:val="24"/>
        </w:rPr>
      </w:pPr>
      <w:bookmarkStart w:id="16" w:name="_Toc32595"/>
      <w:r>
        <w:rPr>
          <w:rFonts w:ascii="宋体" w:hAnsi="宋体"/>
          <w:b w:val="0"/>
          <w:bCs w:val="0"/>
          <w:sz w:val="24"/>
          <w:szCs w:val="24"/>
        </w:rPr>
        <w:t>六、项目团队要求</w:t>
      </w:r>
      <w:bookmarkEnd w:id="7"/>
      <w:bookmarkEnd w:id="16"/>
    </w:p>
    <w:tbl>
      <w:tblPr>
        <w:tblStyle w:val="12"/>
        <w:tblW w:w="5000" w:type="pct"/>
        <w:tblInd w:w="0" w:type="dxa"/>
        <w:tblLayout w:type="autofit"/>
        <w:tblCellMar>
          <w:top w:w="0" w:type="dxa"/>
          <w:left w:w="108" w:type="dxa"/>
          <w:bottom w:w="0" w:type="dxa"/>
          <w:right w:w="108" w:type="dxa"/>
        </w:tblCellMar>
      </w:tblPr>
      <w:tblGrid>
        <w:gridCol w:w="1222"/>
        <w:gridCol w:w="869"/>
        <w:gridCol w:w="3895"/>
        <w:gridCol w:w="2536"/>
      </w:tblGrid>
      <w:tr>
        <w:tblPrEx>
          <w:tblCellMar>
            <w:top w:w="0" w:type="dxa"/>
            <w:left w:w="108" w:type="dxa"/>
            <w:bottom w:w="0" w:type="dxa"/>
            <w:right w:w="108" w:type="dxa"/>
          </w:tblCellMar>
        </w:tblPrEx>
        <w:trPr>
          <w:trHeight w:val="404" w:hRule="atLeast"/>
          <w:tblHeader/>
        </w:trPr>
        <w:tc>
          <w:tcPr>
            <w:tcW w:w="71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b/>
                <w:bCs/>
                <w:sz w:val="24"/>
              </w:rPr>
            </w:pPr>
            <w:r>
              <w:rPr>
                <w:rFonts w:ascii="宋体" w:hAnsi="宋体"/>
                <w:b/>
                <w:bCs/>
                <w:sz w:val="24"/>
              </w:rPr>
              <w:t>岗位名称</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b/>
                <w:bCs/>
                <w:sz w:val="24"/>
              </w:rPr>
            </w:pPr>
            <w:r>
              <w:rPr>
                <w:rFonts w:ascii="宋体" w:hAnsi="宋体"/>
                <w:b/>
                <w:bCs/>
                <w:sz w:val="24"/>
              </w:rPr>
              <w:t>人数</w:t>
            </w:r>
          </w:p>
        </w:tc>
        <w:tc>
          <w:tcPr>
            <w:tcW w:w="228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b/>
                <w:bCs/>
                <w:sz w:val="24"/>
              </w:rPr>
            </w:pPr>
            <w:r>
              <w:rPr>
                <w:rFonts w:ascii="宋体" w:hAnsi="宋体"/>
                <w:b/>
                <w:bCs/>
                <w:sz w:val="24"/>
              </w:rPr>
              <w:t>工作内容</w:t>
            </w:r>
          </w:p>
        </w:tc>
        <w:tc>
          <w:tcPr>
            <w:tcW w:w="148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b/>
                <w:bCs/>
                <w:sz w:val="24"/>
              </w:rPr>
            </w:pPr>
            <w:r>
              <w:rPr>
                <w:rFonts w:ascii="宋体" w:hAnsi="宋体"/>
                <w:b/>
                <w:bCs/>
                <w:sz w:val="24"/>
              </w:rPr>
              <w:t>资质和经验要求</w:t>
            </w:r>
          </w:p>
        </w:tc>
      </w:tr>
      <w:tr>
        <w:tblPrEx>
          <w:tblCellMar>
            <w:top w:w="0" w:type="dxa"/>
            <w:left w:w="108" w:type="dxa"/>
            <w:bottom w:w="0" w:type="dxa"/>
            <w:right w:w="108" w:type="dxa"/>
          </w:tblCellMar>
        </w:tblPrEx>
        <w:trPr>
          <w:trHeight w:val="50" w:hRule="atLeast"/>
        </w:trPr>
        <w:tc>
          <w:tcPr>
            <w:tcW w:w="71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 w:val="24"/>
              </w:rPr>
            </w:pPr>
            <w:r>
              <w:rPr>
                <w:rFonts w:ascii="宋体" w:hAnsi="宋体"/>
                <w:sz w:val="24"/>
              </w:rPr>
              <w:t>项目经理</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 w:val="24"/>
              </w:rPr>
            </w:pPr>
            <w:r>
              <w:rPr>
                <w:rFonts w:ascii="宋体" w:hAnsi="宋体"/>
                <w:sz w:val="24"/>
              </w:rPr>
              <w:t>1人</w:t>
            </w:r>
          </w:p>
        </w:tc>
        <w:tc>
          <w:tcPr>
            <w:tcW w:w="228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4"/>
              </w:rPr>
            </w:pPr>
            <w:r>
              <w:rPr>
                <w:rFonts w:ascii="宋体" w:hAnsi="宋体"/>
                <w:sz w:val="24"/>
              </w:rPr>
              <w:t>负责项目的整体控制和协调，保证工程的进度、质量、保密</w:t>
            </w:r>
            <w:r>
              <w:rPr>
                <w:rFonts w:hint="eastAsia" w:ascii="宋体" w:hAnsi="宋体"/>
                <w:sz w:val="24"/>
              </w:rPr>
              <w:t>，</w:t>
            </w:r>
            <w:r>
              <w:rPr>
                <w:rFonts w:ascii="宋体" w:hAnsi="宋体"/>
                <w:sz w:val="24"/>
              </w:rPr>
              <w:t>负责</w:t>
            </w:r>
            <w:r>
              <w:rPr>
                <w:rFonts w:hint="eastAsia" w:ascii="宋体" w:hAnsi="宋体"/>
                <w:sz w:val="24"/>
              </w:rPr>
              <w:t>与进出口银行的整体对接，负责项目交付物及</w:t>
            </w:r>
            <w:r>
              <w:rPr>
                <w:rFonts w:ascii="宋体" w:hAnsi="宋体"/>
                <w:sz w:val="24"/>
              </w:rPr>
              <w:t>总体验收；</w:t>
            </w:r>
          </w:p>
          <w:p>
            <w:pPr>
              <w:pStyle w:val="2"/>
              <w:spacing w:after="0"/>
              <w:ind w:left="0" w:leftChars="0" w:firstLine="0" w:firstLineChars="0"/>
              <w:jc w:val="left"/>
              <w:rPr>
                <w:rFonts w:hint="eastAsia" w:ascii="宋体" w:hAnsi="宋体"/>
              </w:rPr>
            </w:pPr>
            <w:r>
              <w:rPr>
                <w:rFonts w:hint="eastAsia" w:ascii="宋体" w:hAnsi="宋体"/>
              </w:rPr>
              <w:t>负责业务需求的评估细化，</w:t>
            </w:r>
            <w:r>
              <w:rPr>
                <w:rFonts w:ascii="宋体" w:hAnsi="宋体"/>
              </w:rPr>
              <w:t>制定项目详细进度计划，并监督执行定期核查项目基线，保障项目保质保量按期执行任务的顺利完成。</w:t>
            </w:r>
          </w:p>
        </w:tc>
        <w:tc>
          <w:tcPr>
            <w:tcW w:w="148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4"/>
              </w:rPr>
            </w:pPr>
            <w:r>
              <w:rPr>
                <w:rFonts w:ascii="宋体" w:hAnsi="宋体"/>
                <w:sz w:val="24"/>
              </w:rPr>
              <w:t>1、具备</w:t>
            </w:r>
            <w:r>
              <w:rPr>
                <w:rFonts w:hint="eastAsia" w:ascii="宋体" w:hAnsi="宋体"/>
                <w:sz w:val="24"/>
              </w:rPr>
              <w:t>全日制本科</w:t>
            </w:r>
            <w:r>
              <w:rPr>
                <w:rFonts w:ascii="宋体" w:hAnsi="宋体"/>
                <w:sz w:val="24"/>
              </w:rPr>
              <w:t>及以上学历；</w:t>
            </w:r>
          </w:p>
          <w:p>
            <w:pPr>
              <w:rPr>
                <w:rFonts w:hint="eastAsia" w:ascii="宋体" w:hAnsi="宋体"/>
                <w:sz w:val="24"/>
              </w:rPr>
            </w:pPr>
            <w:r>
              <w:rPr>
                <w:rFonts w:ascii="宋体" w:hAnsi="宋体"/>
                <w:sz w:val="24"/>
              </w:rPr>
              <w:t>2、</w:t>
            </w:r>
            <w:r>
              <w:rPr>
                <w:rFonts w:hint="eastAsia" w:ascii="宋体" w:hAnsi="宋体"/>
                <w:sz w:val="24"/>
              </w:rPr>
              <w:t>熟悉采购人外币资金交易系统实施现状，</w:t>
            </w:r>
            <w:r>
              <w:rPr>
                <w:rFonts w:ascii="宋体" w:hAnsi="宋体"/>
                <w:sz w:val="24"/>
              </w:rPr>
              <w:t>具备</w:t>
            </w:r>
            <w:r>
              <w:rPr>
                <w:rFonts w:hint="eastAsia" w:ascii="宋体" w:hAnsi="宋体"/>
                <w:sz w:val="24"/>
              </w:rPr>
              <w:t>8</w:t>
            </w:r>
            <w:r>
              <w:rPr>
                <w:rFonts w:ascii="宋体" w:hAnsi="宋体"/>
                <w:sz w:val="24"/>
              </w:rPr>
              <w:t>年及以上</w:t>
            </w:r>
            <w:r>
              <w:rPr>
                <w:rFonts w:hint="eastAsia" w:ascii="宋体" w:hAnsi="宋体"/>
                <w:sz w:val="24"/>
              </w:rPr>
              <w:t>项目实施与开发</w:t>
            </w:r>
            <w:r>
              <w:rPr>
                <w:rFonts w:ascii="宋体" w:hAnsi="宋体"/>
                <w:sz w:val="24"/>
              </w:rPr>
              <w:t>经验；</w:t>
            </w:r>
          </w:p>
        </w:tc>
      </w:tr>
      <w:tr>
        <w:tblPrEx>
          <w:tblCellMar>
            <w:top w:w="0" w:type="dxa"/>
            <w:left w:w="108" w:type="dxa"/>
            <w:bottom w:w="0" w:type="dxa"/>
            <w:right w:w="108" w:type="dxa"/>
          </w:tblCellMar>
        </w:tblPrEx>
        <w:trPr>
          <w:trHeight w:val="947" w:hRule="atLeast"/>
        </w:trPr>
        <w:tc>
          <w:tcPr>
            <w:tcW w:w="71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 w:val="24"/>
              </w:rPr>
            </w:pPr>
            <w:r>
              <w:rPr>
                <w:rFonts w:hint="eastAsia" w:ascii="宋体" w:hAnsi="宋体"/>
                <w:sz w:val="24"/>
              </w:rPr>
              <w:t>开发</w:t>
            </w:r>
            <w:r>
              <w:rPr>
                <w:rFonts w:ascii="宋体" w:hAnsi="宋体"/>
                <w:sz w:val="24"/>
              </w:rPr>
              <w:t>实施人员</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 w:val="24"/>
              </w:rPr>
            </w:pPr>
            <w:r>
              <w:rPr>
                <w:rFonts w:hint="eastAsia" w:ascii="宋体" w:hAnsi="宋体"/>
                <w:sz w:val="24"/>
              </w:rPr>
              <w:t>满足项目实施要求</w:t>
            </w:r>
          </w:p>
        </w:tc>
        <w:tc>
          <w:tcPr>
            <w:tcW w:w="228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4"/>
              </w:rPr>
            </w:pPr>
            <w:r>
              <w:rPr>
                <w:rFonts w:ascii="宋体" w:hAnsi="宋体"/>
                <w:sz w:val="24"/>
              </w:rPr>
              <w:t>负责整个项目</w:t>
            </w:r>
            <w:r>
              <w:rPr>
                <w:rFonts w:hint="eastAsia" w:ascii="宋体" w:hAnsi="宋体"/>
                <w:sz w:val="24"/>
              </w:rPr>
              <w:t>开发</w:t>
            </w:r>
            <w:r>
              <w:rPr>
                <w:rFonts w:ascii="宋体" w:hAnsi="宋体"/>
                <w:sz w:val="24"/>
              </w:rPr>
              <w:t>、测试、产品上架、软件部署、安装、调试、联调，产品试运行及项目验收等现场工作，在保证安全实施的过程中及时处理项目实施过程中所遇到的各种问题，核对真实性，提出建议，检验修复情况，编写并提交结果报告。</w:t>
            </w:r>
          </w:p>
          <w:p>
            <w:pPr>
              <w:rPr>
                <w:rFonts w:hint="eastAsia" w:ascii="宋体" w:hAnsi="宋体"/>
                <w:sz w:val="24"/>
              </w:rPr>
            </w:pPr>
            <w:r>
              <w:rPr>
                <w:rFonts w:hint="eastAsia" w:ascii="宋体" w:hAnsi="宋体"/>
                <w:sz w:val="24"/>
              </w:rPr>
              <w:t>负责解答系统操作问题，监控系统运行状态，提供例行巡检方案，处理工单，修复系统缺陷，维护测试环境，配合其它系统开展测试及跑批供数，协助生产变更操作，负责系统批量及年终决算支持，编写运维文档，按要求进行运维培训，配合安全演练、审计等工作，配合漏洞分析和补丁升级等工作，配合关联系统进行问题排查，配合基础设施升级、系统性能优化等制定应用相关工作方案，依据甲方要求安排重大投产日、重大节假日支持工作，甲方安排的其他工作。</w:t>
            </w:r>
          </w:p>
        </w:tc>
        <w:tc>
          <w:tcPr>
            <w:tcW w:w="148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 w:val="24"/>
              </w:rPr>
            </w:pPr>
            <w:r>
              <w:rPr>
                <w:rFonts w:ascii="宋体" w:hAnsi="宋体"/>
                <w:sz w:val="24"/>
              </w:rPr>
              <w:t>1、具备</w:t>
            </w:r>
            <w:r>
              <w:rPr>
                <w:rFonts w:hint="eastAsia" w:ascii="宋体" w:hAnsi="宋体"/>
                <w:sz w:val="24"/>
              </w:rPr>
              <w:t>全日制本科</w:t>
            </w:r>
            <w:r>
              <w:rPr>
                <w:rFonts w:ascii="宋体" w:hAnsi="宋体"/>
                <w:sz w:val="24"/>
              </w:rPr>
              <w:t>及以上学历；</w:t>
            </w:r>
          </w:p>
          <w:p>
            <w:pPr>
              <w:rPr>
                <w:rFonts w:hint="eastAsia" w:ascii="宋体" w:hAnsi="宋体"/>
                <w:sz w:val="24"/>
              </w:rPr>
            </w:pPr>
            <w:r>
              <w:rPr>
                <w:rFonts w:ascii="宋体" w:hAnsi="宋体"/>
                <w:sz w:val="24"/>
              </w:rPr>
              <w:t>2、</w:t>
            </w:r>
            <w:r>
              <w:rPr>
                <w:rFonts w:hint="eastAsia" w:ascii="宋体" w:hAnsi="宋体"/>
                <w:sz w:val="24"/>
              </w:rPr>
              <w:t>熟悉采购人外币资金交易系统实施现状，能够在采购人系统基础上完成需求分析、二次开发、生产故障支持、问题排查等工作。</w:t>
            </w:r>
          </w:p>
          <w:p>
            <w:pPr>
              <w:rPr>
                <w:rFonts w:hint="eastAsia" w:ascii="宋体" w:hAnsi="宋体"/>
                <w:sz w:val="24"/>
              </w:rPr>
            </w:pPr>
            <w:r>
              <w:rPr>
                <w:rFonts w:hint="eastAsia" w:ascii="宋体" w:hAnsi="宋体"/>
                <w:sz w:val="24"/>
              </w:rPr>
              <w:t>3、高级工程师具备8年及以上项目实施与开发经验；中级工程师需3年及以上项目实施与开发经验</w:t>
            </w:r>
            <w:r>
              <w:rPr>
                <w:rFonts w:ascii="宋体" w:hAnsi="宋体"/>
                <w:sz w:val="24"/>
              </w:rPr>
              <w:t>；</w:t>
            </w:r>
          </w:p>
          <w:p>
            <w:pPr>
              <w:rPr>
                <w:rFonts w:hint="eastAsia" w:ascii="宋体" w:hAnsi="宋体"/>
                <w:sz w:val="24"/>
              </w:rPr>
            </w:pPr>
            <w:r>
              <w:rPr>
                <w:rFonts w:hint="eastAsia" w:ascii="宋体" w:hAnsi="宋体"/>
                <w:sz w:val="24"/>
              </w:rPr>
              <w:t>4、</w:t>
            </w:r>
            <w:r>
              <w:rPr>
                <w:rFonts w:ascii="宋体" w:hAnsi="宋体"/>
                <w:sz w:val="24"/>
              </w:rPr>
              <w:t>应具备有效期内</w:t>
            </w:r>
            <w:r>
              <w:rPr>
                <w:rFonts w:hint="eastAsia" w:ascii="宋体" w:hAnsi="宋体"/>
                <w:sz w:val="24"/>
              </w:rPr>
              <w:t>飞思创</w:t>
            </w:r>
            <w:r>
              <w:rPr>
                <w:rFonts w:ascii="宋体" w:hAnsi="宋体"/>
                <w:sz w:val="24"/>
              </w:rPr>
              <w:t>资质证书。</w:t>
            </w:r>
          </w:p>
        </w:tc>
      </w:tr>
    </w:tbl>
    <w:p>
      <w:pPr>
        <w:pStyle w:val="11"/>
        <w:adjustRightInd w:val="0"/>
        <w:spacing w:before="0" w:after="0" w:line="360" w:lineRule="auto"/>
        <w:ind w:firstLine="480" w:firstLineChars="200"/>
        <w:jc w:val="both"/>
        <w:textAlignment w:val="baseline"/>
        <w:rPr>
          <w:rFonts w:hint="eastAsia" w:ascii="宋体" w:hAnsi="宋体"/>
          <w:b w:val="0"/>
          <w:bCs w:val="0"/>
          <w:sz w:val="24"/>
          <w:szCs w:val="24"/>
        </w:rPr>
      </w:pPr>
      <w:bookmarkStart w:id="17" w:name="_Toc20409"/>
      <w:r>
        <w:rPr>
          <w:rFonts w:ascii="宋体" w:hAnsi="宋体"/>
          <w:b w:val="0"/>
          <w:bCs w:val="0"/>
          <w:sz w:val="24"/>
          <w:szCs w:val="24"/>
        </w:rPr>
        <w:t>七、安全要求</w:t>
      </w:r>
      <w:bookmarkEnd w:id="17"/>
    </w:p>
    <w:p>
      <w:pPr>
        <w:adjustRightInd w:val="0"/>
        <w:spacing w:line="360" w:lineRule="auto"/>
        <w:ind w:firstLine="480" w:firstLineChars="200"/>
        <w:textAlignment w:val="baseline"/>
        <w:rPr>
          <w:rFonts w:hint="eastAsia" w:ascii="宋体" w:hAnsi="宋体"/>
          <w:sz w:val="24"/>
        </w:rPr>
      </w:pPr>
      <w:r>
        <w:rPr>
          <w:rFonts w:ascii="宋体" w:hAnsi="宋体"/>
          <w:sz w:val="24"/>
        </w:rPr>
        <w:t>1、在法律合规方面，应有效规避服务过程中给采购人带来的法律风险</w:t>
      </w:r>
      <w:r>
        <w:rPr>
          <w:rFonts w:hint="eastAsia" w:ascii="宋体" w:hAnsi="宋体"/>
          <w:sz w:val="24"/>
        </w:rPr>
        <w:t>。</w:t>
      </w:r>
    </w:p>
    <w:p>
      <w:pPr>
        <w:adjustRightInd w:val="0"/>
        <w:spacing w:line="360" w:lineRule="auto"/>
        <w:ind w:firstLine="480" w:firstLineChars="200"/>
        <w:textAlignment w:val="baseline"/>
        <w:rPr>
          <w:rFonts w:hint="eastAsia" w:ascii="宋体" w:hAnsi="宋体"/>
          <w:sz w:val="24"/>
        </w:rPr>
      </w:pPr>
      <w:r>
        <w:rPr>
          <w:rFonts w:ascii="宋体" w:hAnsi="宋体"/>
          <w:sz w:val="24"/>
        </w:rPr>
        <w:t>2、在信息保密方面，公司应有效规避因服务人员导致的银行信息（如业务数据和商务信息等）泄漏风险</w:t>
      </w:r>
      <w:r>
        <w:rPr>
          <w:rFonts w:hint="eastAsia" w:ascii="宋体" w:hAnsi="宋体"/>
          <w:sz w:val="24"/>
        </w:rPr>
        <w:t>。</w:t>
      </w:r>
    </w:p>
    <w:p>
      <w:pPr>
        <w:adjustRightInd w:val="0"/>
        <w:spacing w:line="360" w:lineRule="auto"/>
        <w:ind w:firstLine="480" w:firstLineChars="200"/>
        <w:textAlignment w:val="baseline"/>
        <w:rPr>
          <w:rFonts w:hint="eastAsia" w:ascii="宋体" w:hAnsi="宋体"/>
          <w:sz w:val="24"/>
        </w:rPr>
      </w:pPr>
      <w:r>
        <w:rPr>
          <w:rFonts w:ascii="宋体" w:hAnsi="宋体"/>
          <w:sz w:val="24"/>
        </w:rPr>
        <w:t>3、在生产安全方面，公司应严格规避因人员操作不当，导致的银行系统出现安全性和稳定性风险事件</w:t>
      </w:r>
      <w:r>
        <w:rPr>
          <w:rFonts w:hint="eastAsia" w:ascii="宋体" w:hAnsi="宋体"/>
          <w:sz w:val="24"/>
        </w:rPr>
        <w:t>。</w:t>
      </w:r>
    </w:p>
    <w:p>
      <w:pPr>
        <w:adjustRightInd w:val="0"/>
        <w:spacing w:line="360" w:lineRule="auto"/>
        <w:ind w:firstLine="480" w:firstLineChars="200"/>
        <w:textAlignment w:val="baseline"/>
        <w:rPr>
          <w:rStyle w:val="14"/>
          <w:rFonts w:hint="eastAsia" w:ascii="宋体" w:hAnsi="宋体"/>
          <w:sz w:val="24"/>
          <w:szCs w:val="24"/>
        </w:rPr>
      </w:pPr>
      <w:r>
        <w:rPr>
          <w:rFonts w:ascii="宋体" w:hAnsi="宋体"/>
          <w:sz w:val="24"/>
        </w:rPr>
        <w:t>4、在安全审计方面，公司应确保针对银行设备的相关操作留有纸质或视频记录。</w:t>
      </w:r>
    </w:p>
    <w:p>
      <w:pPr>
        <w:adjustRightInd w:val="0"/>
        <w:spacing w:line="360" w:lineRule="auto"/>
        <w:ind w:firstLine="480" w:firstLineChars="200"/>
        <w:textAlignment w:val="baseline"/>
        <w:rPr>
          <w:rFonts w:hint="eastAsia" w:ascii="宋体" w:hAnsi="宋体"/>
          <w:sz w:val="24"/>
        </w:rPr>
      </w:pPr>
      <w:r>
        <w:rPr>
          <w:rFonts w:ascii="宋体" w:hAnsi="宋体"/>
          <w:sz w:val="24"/>
        </w:rPr>
        <w:t>5、保密/知识产权要求（如有）供应商对项目实施中涉及到的相关数据、资料、文档等具有保密的义务，并应按照相应保密规定执行。本项目所形成的数据成果归采购人所有。未经采购人同意，供应商不得以商业目的使用该资料或者开发和生产其他产品。</w:t>
      </w:r>
    </w:p>
    <w:p>
      <w:pPr>
        <w:pStyle w:val="11"/>
        <w:adjustRightInd w:val="0"/>
        <w:spacing w:before="0" w:after="0" w:line="360" w:lineRule="auto"/>
        <w:ind w:firstLine="480" w:firstLineChars="200"/>
        <w:jc w:val="both"/>
        <w:textAlignment w:val="baseline"/>
        <w:rPr>
          <w:rFonts w:hint="eastAsia" w:ascii="宋体" w:hAnsi="宋体"/>
          <w:b w:val="0"/>
          <w:bCs w:val="0"/>
          <w:sz w:val="24"/>
          <w:szCs w:val="24"/>
        </w:rPr>
      </w:pPr>
      <w:bookmarkStart w:id="18" w:name="_Toc27778"/>
      <w:r>
        <w:rPr>
          <w:rFonts w:ascii="宋体" w:hAnsi="宋体"/>
          <w:b w:val="0"/>
          <w:bCs w:val="0"/>
          <w:sz w:val="24"/>
          <w:szCs w:val="24"/>
        </w:rPr>
        <w:t>八、交付或实施时间、地点</w:t>
      </w:r>
      <w:bookmarkEnd w:id="18"/>
    </w:p>
    <w:p>
      <w:pPr>
        <w:adjustRightInd w:val="0"/>
        <w:spacing w:line="360" w:lineRule="auto"/>
        <w:ind w:firstLine="480" w:firstLineChars="200"/>
        <w:textAlignment w:val="baseline"/>
        <w:rPr>
          <w:rFonts w:hint="eastAsia" w:ascii="宋体" w:hAnsi="宋体"/>
          <w:sz w:val="24"/>
        </w:rPr>
      </w:pPr>
      <w:r>
        <w:rPr>
          <w:rFonts w:hint="eastAsia" w:ascii="宋体" w:hAnsi="宋体"/>
          <w:sz w:val="24"/>
        </w:rPr>
        <w:t>（一）</w:t>
      </w:r>
      <w:r>
        <w:rPr>
          <w:rFonts w:ascii="宋体" w:hAnsi="宋体"/>
          <w:sz w:val="24"/>
        </w:rPr>
        <w:t>项目实施进度：</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418"/>
        <w:gridCol w:w="6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noWrap w:val="0"/>
            <w:vAlign w:val="center"/>
          </w:tcPr>
          <w:p>
            <w:pPr>
              <w:jc w:val="center"/>
              <w:rPr>
                <w:rFonts w:hint="eastAsia" w:ascii="宋体" w:hAnsi="宋体" w:cs="Calibri"/>
                <w:b/>
                <w:bCs/>
                <w:sz w:val="24"/>
              </w:rPr>
            </w:pPr>
            <w:r>
              <w:rPr>
                <w:rFonts w:ascii="宋体" w:hAnsi="宋体" w:cs="Calibri"/>
                <w:b/>
                <w:bCs/>
                <w:sz w:val="24"/>
              </w:rPr>
              <w:t>序号</w:t>
            </w:r>
          </w:p>
        </w:tc>
        <w:tc>
          <w:tcPr>
            <w:tcW w:w="832" w:type="pct"/>
            <w:noWrap w:val="0"/>
            <w:vAlign w:val="center"/>
          </w:tcPr>
          <w:p>
            <w:pPr>
              <w:jc w:val="center"/>
              <w:rPr>
                <w:rFonts w:hint="eastAsia" w:ascii="宋体" w:hAnsi="宋体" w:cs="Calibri"/>
                <w:b/>
                <w:bCs/>
                <w:sz w:val="24"/>
              </w:rPr>
            </w:pPr>
            <w:r>
              <w:rPr>
                <w:rFonts w:ascii="宋体" w:hAnsi="宋体" w:cs="Calibri"/>
                <w:b/>
                <w:bCs/>
                <w:sz w:val="24"/>
              </w:rPr>
              <w:t>实施阶段</w:t>
            </w:r>
          </w:p>
        </w:tc>
        <w:tc>
          <w:tcPr>
            <w:tcW w:w="3689" w:type="pct"/>
            <w:noWrap w:val="0"/>
            <w:vAlign w:val="center"/>
          </w:tcPr>
          <w:p>
            <w:pPr>
              <w:jc w:val="center"/>
              <w:rPr>
                <w:rFonts w:hint="eastAsia" w:ascii="宋体" w:hAnsi="宋体" w:cs="Calibri"/>
                <w:b/>
                <w:bCs/>
                <w:sz w:val="24"/>
              </w:rPr>
            </w:pPr>
            <w:r>
              <w:rPr>
                <w:rFonts w:ascii="宋体" w:hAnsi="宋体" w:cs="Calibri"/>
                <w:b/>
                <w:bCs/>
                <w:sz w:val="24"/>
              </w:rPr>
              <w:t>项目周期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9" w:type="pct"/>
            <w:noWrap w:val="0"/>
            <w:vAlign w:val="center"/>
          </w:tcPr>
          <w:p>
            <w:pPr>
              <w:jc w:val="center"/>
              <w:rPr>
                <w:rFonts w:hint="eastAsia" w:ascii="宋体" w:hAnsi="宋体" w:cs="仿宋_GB2312"/>
                <w:sz w:val="24"/>
              </w:rPr>
            </w:pPr>
            <w:r>
              <w:rPr>
                <w:rFonts w:hint="eastAsia" w:ascii="宋体" w:hAnsi="宋体" w:cs="仿宋_GB2312"/>
                <w:sz w:val="24"/>
              </w:rPr>
              <w:t>1</w:t>
            </w:r>
          </w:p>
        </w:tc>
        <w:tc>
          <w:tcPr>
            <w:tcW w:w="832" w:type="pct"/>
            <w:noWrap w:val="0"/>
            <w:vAlign w:val="center"/>
          </w:tcPr>
          <w:p>
            <w:pPr>
              <w:jc w:val="center"/>
              <w:rPr>
                <w:rFonts w:hint="eastAsia" w:ascii="宋体" w:hAnsi="宋体" w:cs="仿宋_GB2312"/>
                <w:sz w:val="24"/>
              </w:rPr>
            </w:pPr>
            <w:r>
              <w:rPr>
                <w:rFonts w:hint="eastAsia" w:ascii="宋体" w:hAnsi="宋体" w:cs="仿宋_GB2312"/>
                <w:sz w:val="24"/>
              </w:rPr>
              <w:t>开发服务</w:t>
            </w:r>
          </w:p>
        </w:tc>
        <w:tc>
          <w:tcPr>
            <w:tcW w:w="3689" w:type="pct"/>
            <w:noWrap w:val="0"/>
            <w:vAlign w:val="center"/>
          </w:tcPr>
          <w:p>
            <w:pPr>
              <w:rPr>
                <w:rFonts w:hint="eastAsia" w:ascii="宋体" w:hAnsi="宋体" w:cs="仿宋_GB2312"/>
                <w:sz w:val="24"/>
              </w:rPr>
            </w:pPr>
            <w:r>
              <w:rPr>
                <w:rFonts w:hint="eastAsia" w:ascii="宋体" w:hAnsi="宋体" w:cs="仿宋_GB2312"/>
                <w:sz w:val="24"/>
              </w:rPr>
              <w:t>签订合同起至进出口银行新外币系统投产上线并平稳运行满三个月。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9" w:type="pct"/>
            <w:noWrap w:val="0"/>
            <w:vAlign w:val="center"/>
          </w:tcPr>
          <w:p>
            <w:pPr>
              <w:jc w:val="center"/>
              <w:rPr>
                <w:rFonts w:hint="eastAsia" w:ascii="宋体" w:hAnsi="宋体" w:cs="仿宋_GB2312"/>
                <w:sz w:val="24"/>
              </w:rPr>
            </w:pPr>
            <w:r>
              <w:rPr>
                <w:rFonts w:hint="eastAsia" w:ascii="宋体" w:hAnsi="宋体" w:cs="仿宋_GB2312"/>
                <w:sz w:val="24"/>
              </w:rPr>
              <w:t>2</w:t>
            </w:r>
          </w:p>
        </w:tc>
        <w:tc>
          <w:tcPr>
            <w:tcW w:w="832" w:type="pct"/>
            <w:noWrap w:val="0"/>
            <w:vAlign w:val="center"/>
          </w:tcPr>
          <w:p>
            <w:pPr>
              <w:jc w:val="center"/>
              <w:rPr>
                <w:rFonts w:hint="eastAsia" w:ascii="宋体" w:hAnsi="宋体" w:cs="仿宋_GB2312"/>
                <w:sz w:val="24"/>
              </w:rPr>
            </w:pPr>
            <w:r>
              <w:rPr>
                <w:rFonts w:hint="eastAsia" w:ascii="宋体" w:hAnsi="宋体" w:cs="仿宋_GB2312"/>
                <w:sz w:val="24"/>
              </w:rPr>
              <w:t>产品许可</w:t>
            </w:r>
          </w:p>
        </w:tc>
        <w:tc>
          <w:tcPr>
            <w:tcW w:w="3689" w:type="pct"/>
            <w:noWrap w:val="0"/>
            <w:vAlign w:val="center"/>
          </w:tcPr>
          <w:p>
            <w:pPr>
              <w:rPr>
                <w:rFonts w:hint="eastAsia" w:ascii="宋体" w:hAnsi="宋体" w:cs="仿宋_GB2312"/>
                <w:sz w:val="24"/>
              </w:rPr>
            </w:pPr>
            <w:r>
              <w:rPr>
                <w:rFonts w:hint="eastAsia" w:ascii="宋体" w:hAnsi="宋体" w:cs="仿宋_GB2312"/>
                <w:bCs/>
                <w:sz w:val="24"/>
              </w:rPr>
              <w:t>巴黎分行外币资金交易系统</w:t>
            </w:r>
            <w:r>
              <w:rPr>
                <w:rFonts w:hint="eastAsia" w:ascii="宋体" w:hAnsi="宋体" w:cs="仿宋_GB2312"/>
                <w:sz w:val="24"/>
              </w:rPr>
              <w:t>KONDOR+软件产品使用许可自2026年5月21日</w:t>
            </w:r>
            <w:r>
              <w:rPr>
                <w:rFonts w:hint="eastAsia" w:ascii="宋体" w:hAnsi="宋体" w:cs="仿宋_GB2312"/>
                <w:bCs/>
                <w:sz w:val="24"/>
              </w:rPr>
              <w:t>至</w:t>
            </w:r>
            <w:r>
              <w:rPr>
                <w:rFonts w:hint="eastAsia" w:ascii="宋体" w:hAnsi="宋体" w:cs="仿宋_GB2312"/>
                <w:sz w:val="24"/>
              </w:rPr>
              <w:t>2027年</w:t>
            </w:r>
            <w:r>
              <w:rPr>
                <w:rFonts w:ascii="宋体" w:hAnsi="宋体" w:cs="仿宋_GB2312"/>
                <w:sz w:val="24"/>
              </w:rPr>
              <w:t>11</w:t>
            </w:r>
            <w:r>
              <w:rPr>
                <w:rFonts w:hint="eastAsia" w:ascii="宋体" w:hAnsi="宋体" w:cs="仿宋_GB2312"/>
                <w:sz w:val="24"/>
              </w:rPr>
              <w:t>月</w:t>
            </w:r>
            <w:r>
              <w:rPr>
                <w:rFonts w:ascii="宋体" w:hAnsi="宋体" w:cs="仿宋_GB2312"/>
                <w:sz w:val="24"/>
              </w:rPr>
              <w:t>20</w:t>
            </w:r>
            <w:r>
              <w:rPr>
                <w:rFonts w:hint="eastAsia" w:ascii="宋体" w:hAnsi="宋体" w:cs="仿宋_GB2312"/>
                <w:sz w:val="24"/>
              </w:rPr>
              <w:t>日。</w:t>
            </w:r>
          </w:p>
        </w:tc>
      </w:tr>
    </w:tbl>
    <w:p>
      <w:pPr>
        <w:numPr>
          <w:ilvl w:val="0"/>
          <w:numId w:val="9"/>
        </w:numPr>
        <w:adjustRightInd w:val="0"/>
        <w:spacing w:line="360" w:lineRule="auto"/>
        <w:ind w:firstLine="480" w:firstLineChars="200"/>
        <w:textAlignment w:val="baseline"/>
        <w:rPr>
          <w:rFonts w:hint="eastAsia" w:ascii="宋体" w:hAnsi="宋体"/>
          <w:sz w:val="24"/>
        </w:rPr>
      </w:pPr>
      <w:r>
        <w:rPr>
          <w:rFonts w:ascii="宋体" w:hAnsi="宋体"/>
          <w:sz w:val="24"/>
        </w:rPr>
        <w:t>服务地点:</w:t>
      </w:r>
      <w:r>
        <w:rPr>
          <w:rFonts w:hint="eastAsia" w:ascii="宋体" w:hAnsi="宋体"/>
          <w:sz w:val="24"/>
        </w:rPr>
        <w:t>中国进出口银行总行</w:t>
      </w:r>
    </w:p>
    <w:p>
      <w:pPr>
        <w:pStyle w:val="11"/>
        <w:keepNext/>
        <w:keepLines/>
        <w:widowControl w:val="0"/>
        <w:numPr>
          <w:ilvl w:val="0"/>
          <w:numId w:val="10"/>
        </w:numPr>
        <w:adjustRightInd w:val="0"/>
        <w:spacing w:before="0" w:after="0" w:line="360" w:lineRule="auto"/>
        <w:ind w:firstLine="480" w:firstLineChars="200"/>
        <w:jc w:val="both"/>
        <w:textAlignment w:val="baseline"/>
        <w:rPr>
          <w:rFonts w:hint="eastAsia" w:ascii="宋体" w:hAnsi="宋体"/>
          <w:b w:val="0"/>
          <w:bCs w:val="0"/>
          <w:sz w:val="24"/>
          <w:szCs w:val="24"/>
        </w:rPr>
      </w:pPr>
      <w:bookmarkStart w:id="19" w:name="_Toc16232"/>
      <w:r>
        <w:rPr>
          <w:rFonts w:ascii="宋体" w:hAnsi="宋体"/>
          <w:b w:val="0"/>
          <w:bCs w:val="0"/>
          <w:sz w:val="24"/>
          <w:szCs w:val="24"/>
        </w:rPr>
        <w:t>财务支付要求</w:t>
      </w:r>
      <w:bookmarkEnd w:id="19"/>
    </w:p>
    <w:p>
      <w:pPr>
        <w:spacing w:line="360" w:lineRule="auto"/>
        <w:ind w:firstLine="480" w:firstLineChars="200"/>
        <w:rPr>
          <w:rFonts w:hint="eastAsia" w:ascii="宋体" w:hAnsi="宋体"/>
          <w:sz w:val="24"/>
        </w:rPr>
      </w:pPr>
      <w:r>
        <w:rPr>
          <w:rFonts w:hint="eastAsia" w:ascii="宋体" w:hAnsi="宋体"/>
          <w:sz w:val="24"/>
        </w:rPr>
        <w:t>本项目采购工作量全部为可变工作量，根据实际使用情况结算。</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442"/>
        <w:gridCol w:w="2811"/>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9" w:type="pct"/>
            <w:noWrap w:val="0"/>
            <w:vAlign w:val="center"/>
          </w:tcPr>
          <w:p>
            <w:pPr>
              <w:jc w:val="center"/>
              <w:rPr>
                <w:rFonts w:hint="eastAsia" w:ascii="宋体" w:hAnsi="宋体"/>
                <w:sz w:val="24"/>
              </w:rPr>
            </w:pPr>
            <w:r>
              <w:rPr>
                <w:rFonts w:ascii="宋体" w:hAnsi="宋体"/>
                <w:sz w:val="24"/>
              </w:rPr>
              <w:t>序号</w:t>
            </w:r>
          </w:p>
        </w:tc>
        <w:tc>
          <w:tcPr>
            <w:tcW w:w="846" w:type="pct"/>
            <w:noWrap w:val="0"/>
            <w:vAlign w:val="center"/>
          </w:tcPr>
          <w:p>
            <w:pPr>
              <w:jc w:val="center"/>
              <w:rPr>
                <w:rFonts w:hint="eastAsia" w:ascii="宋体" w:hAnsi="宋体"/>
                <w:sz w:val="24"/>
              </w:rPr>
            </w:pPr>
            <w:r>
              <w:rPr>
                <w:rFonts w:ascii="宋体" w:hAnsi="宋体"/>
                <w:sz w:val="24"/>
              </w:rPr>
              <w:t>付款节点</w:t>
            </w:r>
          </w:p>
        </w:tc>
        <w:tc>
          <w:tcPr>
            <w:tcW w:w="1649" w:type="pct"/>
            <w:noWrap w:val="0"/>
            <w:vAlign w:val="center"/>
          </w:tcPr>
          <w:p>
            <w:pPr>
              <w:jc w:val="center"/>
              <w:rPr>
                <w:rFonts w:hint="eastAsia" w:ascii="宋体" w:hAnsi="宋体"/>
                <w:sz w:val="24"/>
              </w:rPr>
            </w:pPr>
            <w:r>
              <w:rPr>
                <w:rFonts w:ascii="宋体" w:hAnsi="宋体"/>
                <w:sz w:val="24"/>
              </w:rPr>
              <w:t>付款条件</w:t>
            </w:r>
          </w:p>
        </w:tc>
        <w:tc>
          <w:tcPr>
            <w:tcW w:w="2026" w:type="pct"/>
            <w:noWrap w:val="0"/>
            <w:vAlign w:val="center"/>
          </w:tcPr>
          <w:p>
            <w:pPr>
              <w:jc w:val="center"/>
              <w:rPr>
                <w:rFonts w:hint="eastAsia" w:ascii="宋体" w:hAnsi="宋体"/>
                <w:sz w:val="24"/>
              </w:rPr>
            </w:pPr>
            <w:r>
              <w:rPr>
                <w:rFonts w:ascii="宋体" w:hAnsi="宋体"/>
                <w:sz w:val="24"/>
              </w:rPr>
              <w:t>付款比例(或金额)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noWrap w:val="0"/>
            <w:vAlign w:val="center"/>
          </w:tcPr>
          <w:p>
            <w:pPr>
              <w:jc w:val="left"/>
              <w:rPr>
                <w:rFonts w:hint="eastAsia" w:ascii="宋体" w:hAnsi="宋体"/>
                <w:sz w:val="24"/>
              </w:rPr>
            </w:pPr>
            <w:r>
              <w:rPr>
                <w:rFonts w:hint="eastAsia" w:ascii="宋体" w:hAnsi="宋体"/>
                <w:sz w:val="24"/>
              </w:rPr>
              <w:t>开发服务部分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noWrap w:val="0"/>
            <w:vAlign w:val="center"/>
          </w:tcPr>
          <w:p>
            <w:pPr>
              <w:jc w:val="center"/>
              <w:rPr>
                <w:rFonts w:hint="eastAsia" w:ascii="宋体" w:hAnsi="宋体"/>
                <w:sz w:val="24"/>
              </w:rPr>
            </w:pPr>
            <w:r>
              <w:rPr>
                <w:rFonts w:ascii="宋体" w:hAnsi="宋体"/>
                <w:sz w:val="24"/>
              </w:rPr>
              <w:t>１</w:t>
            </w:r>
          </w:p>
        </w:tc>
        <w:tc>
          <w:tcPr>
            <w:tcW w:w="846" w:type="pct"/>
            <w:noWrap w:val="0"/>
            <w:vAlign w:val="center"/>
          </w:tcPr>
          <w:p>
            <w:pPr>
              <w:jc w:val="center"/>
              <w:rPr>
                <w:rFonts w:hint="eastAsia" w:ascii="宋体" w:hAnsi="宋体"/>
                <w:sz w:val="24"/>
              </w:rPr>
            </w:pPr>
            <w:r>
              <w:rPr>
                <w:rFonts w:hint="eastAsia" w:ascii="宋体" w:hAnsi="宋体"/>
                <w:sz w:val="24"/>
              </w:rPr>
              <w:t>第一期付款</w:t>
            </w:r>
          </w:p>
        </w:tc>
        <w:tc>
          <w:tcPr>
            <w:tcW w:w="1649" w:type="pct"/>
            <w:noWrap w:val="0"/>
            <w:vAlign w:val="center"/>
          </w:tcPr>
          <w:p>
            <w:pPr>
              <w:jc w:val="center"/>
              <w:rPr>
                <w:rFonts w:hint="eastAsia" w:ascii="宋体" w:hAnsi="宋体"/>
                <w:sz w:val="24"/>
              </w:rPr>
            </w:pPr>
            <w:r>
              <w:rPr>
                <w:rFonts w:ascii="宋体" w:hAnsi="宋体"/>
                <w:sz w:val="24"/>
              </w:rPr>
              <w:t>签订合同</w:t>
            </w:r>
            <w:r>
              <w:rPr>
                <w:rFonts w:hint="eastAsia" w:ascii="宋体" w:hAnsi="宋体"/>
                <w:sz w:val="24"/>
              </w:rPr>
              <w:t>30</w:t>
            </w:r>
            <w:r>
              <w:rPr>
                <w:rFonts w:ascii="宋体" w:hAnsi="宋体"/>
                <w:sz w:val="24"/>
              </w:rPr>
              <w:t>日内</w:t>
            </w:r>
            <w:r>
              <w:rPr>
                <w:rFonts w:hint="eastAsia" w:ascii="宋体" w:hAnsi="宋体"/>
                <w:sz w:val="24"/>
              </w:rPr>
              <w:t>，在甲方收到乙方提供的正式发票30个工作日内</w:t>
            </w:r>
          </w:p>
        </w:tc>
        <w:tc>
          <w:tcPr>
            <w:tcW w:w="2026" w:type="pct"/>
            <w:noWrap w:val="0"/>
            <w:vAlign w:val="center"/>
          </w:tcPr>
          <w:p>
            <w:pPr>
              <w:jc w:val="left"/>
              <w:rPr>
                <w:rFonts w:hint="eastAsia" w:ascii="宋体" w:hAnsi="宋体"/>
                <w:sz w:val="24"/>
              </w:rPr>
            </w:pPr>
            <w:r>
              <w:rPr>
                <w:rFonts w:hint="eastAsia" w:ascii="宋体" w:hAnsi="宋体"/>
                <w:sz w:val="24"/>
              </w:rPr>
              <w:t>支付开发服务部分的2</w:t>
            </w:r>
            <w:r>
              <w:rPr>
                <w:rFonts w:ascii="宋体" w:hAnsi="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noWrap w:val="0"/>
            <w:vAlign w:val="center"/>
          </w:tcPr>
          <w:p>
            <w:pPr>
              <w:jc w:val="center"/>
              <w:rPr>
                <w:rFonts w:hint="eastAsia" w:ascii="宋体" w:hAnsi="宋体"/>
                <w:sz w:val="24"/>
              </w:rPr>
            </w:pPr>
            <w:r>
              <w:rPr>
                <w:rFonts w:hint="eastAsia" w:ascii="宋体" w:hAnsi="宋体"/>
                <w:sz w:val="24"/>
              </w:rPr>
              <w:t>2</w:t>
            </w:r>
          </w:p>
        </w:tc>
        <w:tc>
          <w:tcPr>
            <w:tcW w:w="846" w:type="pct"/>
            <w:noWrap w:val="0"/>
            <w:vAlign w:val="center"/>
          </w:tcPr>
          <w:p>
            <w:pPr>
              <w:jc w:val="center"/>
              <w:rPr>
                <w:rFonts w:hint="eastAsia" w:ascii="宋体" w:hAnsi="宋体"/>
                <w:sz w:val="24"/>
              </w:rPr>
            </w:pPr>
            <w:r>
              <w:rPr>
                <w:rFonts w:hint="eastAsia" w:ascii="宋体" w:hAnsi="宋体"/>
                <w:sz w:val="24"/>
              </w:rPr>
              <w:t>第二期付款</w:t>
            </w:r>
          </w:p>
        </w:tc>
        <w:tc>
          <w:tcPr>
            <w:tcW w:w="1649" w:type="pct"/>
            <w:noWrap w:val="0"/>
            <w:vAlign w:val="center"/>
          </w:tcPr>
          <w:p>
            <w:pPr>
              <w:jc w:val="center"/>
              <w:rPr>
                <w:rFonts w:hint="eastAsia" w:ascii="宋体" w:hAnsi="宋体"/>
                <w:sz w:val="24"/>
              </w:rPr>
            </w:pPr>
            <w:r>
              <w:rPr>
                <w:rFonts w:hint="eastAsia" w:ascii="宋体" w:hAnsi="宋体"/>
                <w:sz w:val="24"/>
              </w:rPr>
              <w:t>合同签订后12个月，且通过阶段验收，在甲方收到乙方提供的正式发票30个工作日内</w:t>
            </w:r>
          </w:p>
        </w:tc>
        <w:tc>
          <w:tcPr>
            <w:tcW w:w="2026" w:type="pct"/>
            <w:noWrap w:val="0"/>
            <w:vAlign w:val="center"/>
          </w:tcPr>
          <w:p>
            <w:pPr>
              <w:jc w:val="left"/>
              <w:rPr>
                <w:rFonts w:hint="eastAsia" w:ascii="宋体" w:hAnsi="宋体"/>
                <w:sz w:val="24"/>
              </w:rPr>
            </w:pPr>
            <w:r>
              <w:rPr>
                <w:rFonts w:hint="eastAsia" w:ascii="宋体" w:hAnsi="宋体"/>
                <w:sz w:val="24"/>
              </w:rPr>
              <w:t>支付金额为：合同签订后第1-12个月实际发生工作量对应服务费，扣除第一期付款金额。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noWrap w:val="0"/>
            <w:vAlign w:val="center"/>
          </w:tcPr>
          <w:p>
            <w:pPr>
              <w:jc w:val="center"/>
              <w:rPr>
                <w:rFonts w:hint="eastAsia" w:ascii="宋体" w:hAnsi="宋体"/>
                <w:sz w:val="24"/>
              </w:rPr>
            </w:pPr>
            <w:r>
              <w:rPr>
                <w:rFonts w:hint="eastAsia" w:ascii="宋体" w:hAnsi="宋体"/>
                <w:sz w:val="24"/>
              </w:rPr>
              <w:t>3</w:t>
            </w:r>
          </w:p>
        </w:tc>
        <w:tc>
          <w:tcPr>
            <w:tcW w:w="846" w:type="pct"/>
            <w:noWrap w:val="0"/>
            <w:vAlign w:val="center"/>
          </w:tcPr>
          <w:p>
            <w:pPr>
              <w:jc w:val="center"/>
              <w:rPr>
                <w:rFonts w:hint="eastAsia" w:ascii="宋体" w:hAnsi="宋体"/>
                <w:sz w:val="24"/>
              </w:rPr>
            </w:pPr>
            <w:r>
              <w:rPr>
                <w:rFonts w:hint="eastAsia" w:ascii="宋体" w:hAnsi="宋体"/>
                <w:sz w:val="24"/>
              </w:rPr>
              <w:t>第三期付款</w:t>
            </w:r>
          </w:p>
        </w:tc>
        <w:tc>
          <w:tcPr>
            <w:tcW w:w="1649" w:type="pct"/>
            <w:noWrap w:val="0"/>
            <w:vAlign w:val="center"/>
          </w:tcPr>
          <w:p>
            <w:pPr>
              <w:jc w:val="center"/>
              <w:rPr>
                <w:rFonts w:hint="eastAsia" w:ascii="宋体" w:hAnsi="宋体"/>
                <w:sz w:val="24"/>
              </w:rPr>
            </w:pPr>
            <w:r>
              <w:rPr>
                <w:rFonts w:hint="eastAsia" w:ascii="宋体" w:hAnsi="宋体"/>
                <w:sz w:val="24"/>
              </w:rPr>
              <w:t>合同签订后24个月，且通过阶段验收，在甲方收到乙方提供的正式发票30个工作日内</w:t>
            </w:r>
          </w:p>
        </w:tc>
        <w:tc>
          <w:tcPr>
            <w:tcW w:w="2026" w:type="pct"/>
            <w:noWrap w:val="0"/>
            <w:vAlign w:val="center"/>
          </w:tcPr>
          <w:p>
            <w:pPr>
              <w:jc w:val="left"/>
              <w:rPr>
                <w:rFonts w:hint="eastAsia" w:ascii="宋体" w:hAnsi="宋体"/>
                <w:sz w:val="24"/>
              </w:rPr>
            </w:pPr>
            <w:r>
              <w:rPr>
                <w:rFonts w:hint="eastAsia" w:ascii="宋体" w:hAnsi="宋体"/>
                <w:sz w:val="24"/>
              </w:rPr>
              <w:t>支付金额为：合同签订后第13-24个月实际发生工作量对应服务费。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noWrap w:val="0"/>
            <w:vAlign w:val="center"/>
          </w:tcPr>
          <w:p>
            <w:pPr>
              <w:jc w:val="center"/>
              <w:rPr>
                <w:rFonts w:hint="eastAsia" w:ascii="宋体" w:hAnsi="宋体"/>
                <w:sz w:val="24"/>
              </w:rPr>
            </w:pPr>
            <w:r>
              <w:rPr>
                <w:rFonts w:hint="eastAsia" w:ascii="宋体" w:hAnsi="宋体"/>
                <w:sz w:val="24"/>
              </w:rPr>
              <w:t>4</w:t>
            </w:r>
          </w:p>
        </w:tc>
        <w:tc>
          <w:tcPr>
            <w:tcW w:w="846" w:type="pct"/>
            <w:noWrap w:val="0"/>
            <w:vAlign w:val="center"/>
          </w:tcPr>
          <w:p>
            <w:pPr>
              <w:jc w:val="center"/>
              <w:rPr>
                <w:rFonts w:hint="eastAsia" w:ascii="宋体" w:hAnsi="宋体"/>
                <w:sz w:val="24"/>
              </w:rPr>
            </w:pPr>
            <w:r>
              <w:rPr>
                <w:rFonts w:ascii="宋体" w:hAnsi="宋体"/>
                <w:sz w:val="24"/>
              </w:rPr>
              <w:t>第</w:t>
            </w:r>
            <w:r>
              <w:rPr>
                <w:rFonts w:hint="eastAsia" w:ascii="宋体" w:hAnsi="宋体"/>
                <w:sz w:val="24"/>
              </w:rPr>
              <w:t>四期付款</w:t>
            </w:r>
          </w:p>
        </w:tc>
        <w:tc>
          <w:tcPr>
            <w:tcW w:w="1649" w:type="pct"/>
            <w:noWrap w:val="0"/>
            <w:vAlign w:val="center"/>
          </w:tcPr>
          <w:p>
            <w:pPr>
              <w:jc w:val="center"/>
              <w:rPr>
                <w:rFonts w:hint="eastAsia" w:ascii="宋体" w:hAnsi="宋体"/>
                <w:sz w:val="24"/>
              </w:rPr>
            </w:pPr>
            <w:r>
              <w:rPr>
                <w:rFonts w:hint="eastAsia" w:ascii="宋体" w:hAnsi="宋体"/>
                <w:sz w:val="24"/>
              </w:rPr>
              <w:t>通过终验，在甲方收到乙方提供的正式发票30个工作日内</w:t>
            </w:r>
          </w:p>
        </w:tc>
        <w:tc>
          <w:tcPr>
            <w:tcW w:w="2026" w:type="pct"/>
            <w:noWrap w:val="0"/>
            <w:vAlign w:val="center"/>
          </w:tcPr>
          <w:p>
            <w:pPr>
              <w:jc w:val="left"/>
              <w:rPr>
                <w:rFonts w:hint="eastAsia" w:ascii="宋体" w:hAnsi="宋体"/>
                <w:sz w:val="24"/>
              </w:rPr>
            </w:pPr>
            <w:r>
              <w:rPr>
                <w:rFonts w:hint="eastAsia" w:ascii="宋体" w:hAnsi="宋体"/>
                <w:sz w:val="24"/>
              </w:rPr>
              <w:t>支付金额为：合同签订后第25个月至项目终验实际发生工作量对应服务费，四期付款总额不超过合同开发服务总金额。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noWrap w:val="0"/>
            <w:vAlign w:val="center"/>
          </w:tcPr>
          <w:p>
            <w:pPr>
              <w:jc w:val="left"/>
              <w:rPr>
                <w:rFonts w:hint="eastAsia" w:ascii="宋体" w:hAnsi="宋体"/>
                <w:sz w:val="24"/>
              </w:rPr>
            </w:pPr>
            <w:r>
              <w:rPr>
                <w:rFonts w:hint="eastAsia" w:ascii="宋体" w:hAnsi="宋体"/>
                <w:sz w:val="24"/>
              </w:rPr>
              <w:t>产品许可部分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noWrap w:val="0"/>
            <w:vAlign w:val="center"/>
          </w:tcPr>
          <w:p>
            <w:pPr>
              <w:jc w:val="center"/>
              <w:rPr>
                <w:rFonts w:hint="eastAsia" w:ascii="宋体" w:hAnsi="宋体"/>
                <w:sz w:val="24"/>
              </w:rPr>
            </w:pPr>
            <w:r>
              <w:rPr>
                <w:rFonts w:hint="eastAsia" w:ascii="宋体" w:hAnsi="宋体"/>
                <w:sz w:val="24"/>
              </w:rPr>
              <w:t>5</w:t>
            </w:r>
          </w:p>
        </w:tc>
        <w:tc>
          <w:tcPr>
            <w:tcW w:w="846" w:type="pct"/>
            <w:noWrap w:val="0"/>
            <w:vAlign w:val="center"/>
          </w:tcPr>
          <w:p>
            <w:pPr>
              <w:jc w:val="center"/>
              <w:rPr>
                <w:rFonts w:hint="eastAsia" w:ascii="宋体" w:hAnsi="宋体"/>
                <w:sz w:val="24"/>
              </w:rPr>
            </w:pPr>
            <w:r>
              <w:rPr>
                <w:rFonts w:hint="eastAsia" w:ascii="宋体" w:hAnsi="宋体"/>
                <w:sz w:val="24"/>
              </w:rPr>
              <w:t>第一期付款</w:t>
            </w:r>
          </w:p>
        </w:tc>
        <w:tc>
          <w:tcPr>
            <w:tcW w:w="1649" w:type="pct"/>
            <w:noWrap w:val="0"/>
            <w:vAlign w:val="center"/>
          </w:tcPr>
          <w:p>
            <w:pPr>
              <w:jc w:val="center"/>
              <w:rPr>
                <w:rFonts w:hint="eastAsia" w:ascii="宋体" w:hAnsi="宋体"/>
                <w:sz w:val="24"/>
              </w:rPr>
            </w:pPr>
            <w:r>
              <w:rPr>
                <w:rFonts w:ascii="宋体" w:hAnsi="宋体"/>
                <w:sz w:val="24"/>
              </w:rPr>
              <w:t>签订合同</w:t>
            </w:r>
            <w:r>
              <w:rPr>
                <w:rFonts w:hint="eastAsia" w:ascii="宋体" w:hAnsi="宋体"/>
                <w:sz w:val="24"/>
              </w:rPr>
              <w:t>30</w:t>
            </w:r>
            <w:r>
              <w:rPr>
                <w:rFonts w:ascii="宋体" w:hAnsi="宋体"/>
                <w:sz w:val="24"/>
              </w:rPr>
              <w:t>日内</w:t>
            </w:r>
            <w:r>
              <w:rPr>
                <w:rFonts w:hint="eastAsia" w:ascii="宋体" w:hAnsi="宋体"/>
                <w:sz w:val="24"/>
              </w:rPr>
              <w:t>，在甲方收到乙方提供的正式发票30个工作日内</w:t>
            </w:r>
          </w:p>
        </w:tc>
        <w:tc>
          <w:tcPr>
            <w:tcW w:w="2026" w:type="pct"/>
            <w:noWrap w:val="0"/>
            <w:vAlign w:val="center"/>
          </w:tcPr>
          <w:p>
            <w:pPr>
              <w:jc w:val="left"/>
              <w:rPr>
                <w:rFonts w:hint="eastAsia" w:ascii="宋体" w:hAnsi="宋体"/>
                <w:sz w:val="24"/>
              </w:rPr>
            </w:pPr>
            <w:r>
              <w:rPr>
                <w:rFonts w:ascii="宋体" w:hAnsi="宋体"/>
                <w:sz w:val="24"/>
              </w:rPr>
              <w:t>付款至30%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noWrap w:val="0"/>
            <w:vAlign w:val="center"/>
          </w:tcPr>
          <w:p>
            <w:pPr>
              <w:jc w:val="center"/>
              <w:rPr>
                <w:rFonts w:hint="eastAsia" w:ascii="宋体" w:hAnsi="宋体"/>
                <w:sz w:val="24"/>
              </w:rPr>
            </w:pPr>
            <w:r>
              <w:rPr>
                <w:rFonts w:hint="eastAsia" w:ascii="宋体" w:hAnsi="宋体"/>
                <w:sz w:val="24"/>
              </w:rPr>
              <w:t>6</w:t>
            </w:r>
          </w:p>
        </w:tc>
        <w:tc>
          <w:tcPr>
            <w:tcW w:w="846" w:type="pct"/>
            <w:noWrap w:val="0"/>
            <w:vAlign w:val="center"/>
          </w:tcPr>
          <w:p>
            <w:pPr>
              <w:jc w:val="center"/>
              <w:rPr>
                <w:rFonts w:hint="eastAsia" w:ascii="宋体" w:hAnsi="宋体"/>
                <w:sz w:val="24"/>
              </w:rPr>
            </w:pPr>
            <w:r>
              <w:rPr>
                <w:rFonts w:hint="eastAsia" w:ascii="宋体" w:hAnsi="宋体"/>
                <w:sz w:val="24"/>
              </w:rPr>
              <w:t>第二期付款</w:t>
            </w:r>
          </w:p>
        </w:tc>
        <w:tc>
          <w:tcPr>
            <w:tcW w:w="1649" w:type="pct"/>
            <w:noWrap w:val="0"/>
            <w:vAlign w:val="center"/>
          </w:tcPr>
          <w:p>
            <w:pPr>
              <w:jc w:val="center"/>
              <w:rPr>
                <w:rFonts w:hint="eastAsia" w:ascii="宋体" w:hAnsi="宋体"/>
                <w:sz w:val="24"/>
              </w:rPr>
            </w:pPr>
            <w:r>
              <w:rPr>
                <w:rFonts w:hint="eastAsia" w:ascii="宋体" w:hAnsi="宋体"/>
                <w:sz w:val="24"/>
              </w:rPr>
              <w:t>合同签订后12个月，在甲方收到乙方提供的正式发票30个工作日内</w:t>
            </w:r>
          </w:p>
        </w:tc>
        <w:tc>
          <w:tcPr>
            <w:tcW w:w="2026" w:type="pct"/>
            <w:noWrap w:val="0"/>
            <w:vAlign w:val="center"/>
          </w:tcPr>
          <w:p>
            <w:pPr>
              <w:jc w:val="left"/>
              <w:rPr>
                <w:rFonts w:hint="eastAsia" w:ascii="宋体" w:hAnsi="宋体"/>
                <w:sz w:val="24"/>
              </w:rPr>
            </w:pPr>
            <w:r>
              <w:rPr>
                <w:rFonts w:ascii="宋体" w:hAnsi="宋体"/>
                <w:sz w:val="24"/>
              </w:rPr>
              <w:t>付款至6</w:t>
            </w:r>
            <w:r>
              <w:rPr>
                <w:rFonts w:hint="eastAsia" w:ascii="宋体" w:hAnsi="宋体"/>
                <w:sz w:val="24"/>
              </w:rPr>
              <w:t>0</w:t>
            </w: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noWrap w:val="0"/>
            <w:vAlign w:val="center"/>
          </w:tcPr>
          <w:p>
            <w:pPr>
              <w:jc w:val="center"/>
              <w:rPr>
                <w:rFonts w:hint="eastAsia" w:ascii="宋体" w:hAnsi="宋体"/>
                <w:sz w:val="24"/>
              </w:rPr>
            </w:pPr>
            <w:r>
              <w:rPr>
                <w:rFonts w:ascii="宋体" w:hAnsi="宋体"/>
                <w:sz w:val="24"/>
              </w:rPr>
              <w:t>7</w:t>
            </w:r>
          </w:p>
        </w:tc>
        <w:tc>
          <w:tcPr>
            <w:tcW w:w="846" w:type="pct"/>
            <w:noWrap w:val="0"/>
            <w:vAlign w:val="center"/>
          </w:tcPr>
          <w:p>
            <w:pPr>
              <w:jc w:val="center"/>
              <w:rPr>
                <w:rFonts w:hint="eastAsia" w:ascii="宋体" w:hAnsi="宋体"/>
                <w:sz w:val="24"/>
              </w:rPr>
            </w:pPr>
            <w:r>
              <w:rPr>
                <w:rFonts w:hint="eastAsia" w:ascii="宋体" w:hAnsi="宋体"/>
                <w:sz w:val="24"/>
              </w:rPr>
              <w:t>第三期付款</w:t>
            </w:r>
          </w:p>
        </w:tc>
        <w:tc>
          <w:tcPr>
            <w:tcW w:w="1649" w:type="pct"/>
            <w:noWrap w:val="0"/>
            <w:vAlign w:val="center"/>
          </w:tcPr>
          <w:p>
            <w:pPr>
              <w:jc w:val="center"/>
              <w:rPr>
                <w:rFonts w:hint="eastAsia" w:ascii="宋体" w:hAnsi="宋体"/>
                <w:sz w:val="24"/>
              </w:rPr>
            </w:pPr>
            <w:r>
              <w:rPr>
                <w:rFonts w:hint="eastAsia" w:ascii="宋体" w:hAnsi="宋体"/>
                <w:sz w:val="24"/>
              </w:rPr>
              <w:t>合同到期且通过验收后，在甲方收到乙方提供的正式发票30个工作日内</w:t>
            </w:r>
          </w:p>
        </w:tc>
        <w:tc>
          <w:tcPr>
            <w:tcW w:w="2026" w:type="pct"/>
            <w:noWrap w:val="0"/>
            <w:vAlign w:val="center"/>
          </w:tcPr>
          <w:p>
            <w:pPr>
              <w:jc w:val="left"/>
              <w:rPr>
                <w:rFonts w:hint="eastAsia" w:ascii="宋体" w:hAnsi="宋体"/>
                <w:sz w:val="24"/>
              </w:rPr>
            </w:pPr>
            <w:r>
              <w:rPr>
                <w:rFonts w:ascii="宋体" w:hAnsi="宋体"/>
                <w:sz w:val="24"/>
              </w:rPr>
              <w:t>付款至</w:t>
            </w:r>
            <w:r>
              <w:rPr>
                <w:rFonts w:hint="eastAsia" w:ascii="宋体" w:hAnsi="宋体"/>
                <w:sz w:val="24"/>
              </w:rPr>
              <w:t>100</w:t>
            </w:r>
            <w:r>
              <w:rPr>
                <w:rFonts w:ascii="宋体" w:hAnsi="宋体"/>
                <w:sz w:val="24"/>
              </w:rPr>
              <w:t>%</w:t>
            </w:r>
          </w:p>
        </w:tc>
      </w:tr>
    </w:tbl>
    <w:p>
      <w:pPr>
        <w:pStyle w:val="11"/>
        <w:adjustRightInd w:val="0"/>
        <w:spacing w:before="0" w:after="0" w:line="360" w:lineRule="auto"/>
        <w:ind w:firstLine="480" w:firstLineChars="200"/>
        <w:jc w:val="both"/>
        <w:textAlignment w:val="baseline"/>
        <w:rPr>
          <w:rFonts w:hint="eastAsia" w:ascii="宋体" w:hAnsi="宋体"/>
          <w:b w:val="0"/>
          <w:bCs w:val="0"/>
          <w:sz w:val="24"/>
          <w:szCs w:val="24"/>
        </w:rPr>
      </w:pPr>
      <w:bookmarkStart w:id="20" w:name="_Toc4456"/>
      <w:bookmarkStart w:id="21" w:name="_Toc8242"/>
      <w:r>
        <w:rPr>
          <w:rFonts w:ascii="宋体" w:hAnsi="宋体"/>
          <w:b w:val="0"/>
          <w:bCs w:val="0"/>
          <w:sz w:val="24"/>
          <w:szCs w:val="24"/>
        </w:rPr>
        <w:t>十、履约验收方案</w:t>
      </w:r>
      <w:bookmarkEnd w:id="20"/>
      <w:bookmarkEnd w:id="21"/>
    </w:p>
    <w:p>
      <w:pPr>
        <w:pStyle w:val="15"/>
        <w:numPr>
          <w:ilvl w:val="0"/>
          <w:numId w:val="11"/>
        </w:numPr>
        <w:spacing w:afterLines="0"/>
        <w:ind w:firstLine="480" w:firstLineChars="200"/>
        <w:rPr>
          <w:rFonts w:hint="eastAsia" w:ascii="宋体" w:hAnsi="宋体" w:cs="Times New Roman"/>
        </w:rPr>
      </w:pPr>
      <w:bookmarkStart w:id="22" w:name="_Toc241634330"/>
      <w:bookmarkStart w:id="23" w:name="_Toc427324160"/>
      <w:bookmarkStart w:id="24" w:name="_Toc339888460"/>
      <w:bookmarkStart w:id="25" w:name="_Toc199219954"/>
      <w:r>
        <w:rPr>
          <w:rFonts w:hint="eastAsia" w:ascii="宋体" w:hAnsi="宋体" w:cs="Times New Roman"/>
        </w:rPr>
        <w:t>验收内容</w:t>
      </w:r>
      <w:bookmarkEnd w:id="22"/>
      <w:bookmarkEnd w:id="23"/>
      <w:bookmarkEnd w:id="24"/>
      <w:bookmarkEnd w:id="25"/>
    </w:p>
    <w:p>
      <w:pPr>
        <w:spacing w:line="360" w:lineRule="auto"/>
        <w:ind w:firstLine="480" w:firstLineChars="200"/>
        <w:rPr>
          <w:rFonts w:hint="eastAsia" w:ascii="宋体" w:hAnsi="宋体"/>
          <w:sz w:val="24"/>
        </w:rPr>
      </w:pPr>
      <w:r>
        <w:rPr>
          <w:rFonts w:hint="eastAsia" w:ascii="宋体" w:hAnsi="宋体"/>
          <w:sz w:val="24"/>
        </w:rPr>
        <w:t>验收</w:t>
      </w:r>
      <w:r>
        <w:rPr>
          <w:rFonts w:ascii="宋体" w:hAnsi="宋体"/>
          <w:sz w:val="24"/>
        </w:rPr>
        <w:t>交付物包括</w:t>
      </w:r>
      <w:r>
        <w:rPr>
          <w:rFonts w:hint="eastAsia" w:ascii="宋体" w:hAnsi="宋体"/>
          <w:sz w:val="24"/>
        </w:rPr>
        <w:t>但不限于</w:t>
      </w:r>
      <w:r>
        <w:rPr>
          <w:rFonts w:ascii="宋体" w:hAnsi="宋体"/>
          <w:sz w:val="24"/>
        </w:rPr>
        <w:t>文档资料、代码、上线版本。</w:t>
      </w:r>
    </w:p>
    <w:p>
      <w:pPr>
        <w:pStyle w:val="15"/>
        <w:numPr>
          <w:ilvl w:val="0"/>
          <w:numId w:val="12"/>
        </w:numPr>
        <w:spacing w:afterLines="0"/>
        <w:ind w:firstLine="480" w:firstLineChars="200"/>
        <w:rPr>
          <w:rFonts w:hint="eastAsia" w:ascii="宋体" w:hAnsi="宋体" w:cs="Times New Roman"/>
        </w:rPr>
      </w:pPr>
      <w:bookmarkStart w:id="26" w:name="_Toc339888461"/>
      <w:bookmarkStart w:id="27" w:name="_Toc241634331"/>
      <w:bookmarkStart w:id="28" w:name="_Toc427324161"/>
      <w:r>
        <w:rPr>
          <w:rFonts w:hint="eastAsia" w:ascii="宋体" w:hAnsi="宋体" w:cs="Times New Roman"/>
        </w:rPr>
        <w:t>验收</w:t>
      </w:r>
      <w:bookmarkEnd w:id="26"/>
      <w:bookmarkEnd w:id="27"/>
      <w:r>
        <w:rPr>
          <w:rFonts w:hint="eastAsia" w:ascii="宋体" w:hAnsi="宋体" w:cs="Times New Roman"/>
        </w:rPr>
        <w:t>条件</w:t>
      </w:r>
      <w:bookmarkEnd w:id="28"/>
    </w:p>
    <w:p>
      <w:pPr>
        <w:pStyle w:val="15"/>
        <w:spacing w:afterLines="0"/>
        <w:ind w:left="420" w:leftChars="200"/>
        <w:rPr>
          <w:rFonts w:hint="eastAsia" w:ascii="宋体" w:hAnsi="宋体" w:cs="Times New Roman"/>
        </w:rPr>
      </w:pPr>
      <w:r>
        <w:rPr>
          <w:rFonts w:hint="eastAsia" w:ascii="宋体" w:hAnsi="宋体" w:cs="Times New Roman"/>
        </w:rPr>
        <w:t xml:space="preserve"> 开发服务部分：</w:t>
      </w:r>
    </w:p>
    <w:p>
      <w:pPr>
        <w:pStyle w:val="15"/>
        <w:spacing w:afterLines="0"/>
        <w:ind w:firstLine="480" w:firstLineChars="200"/>
        <w:rPr>
          <w:rFonts w:hint="eastAsia" w:ascii="宋体" w:hAnsi="宋体" w:cs="Times New Roman"/>
        </w:rPr>
      </w:pPr>
      <w:r>
        <w:rPr>
          <w:rFonts w:hint="eastAsia" w:ascii="宋体" w:hAnsi="宋体" w:cs="Times New Roman"/>
        </w:rPr>
        <w:t>1. 阶段验收</w:t>
      </w:r>
    </w:p>
    <w:p>
      <w:pPr>
        <w:pStyle w:val="15"/>
        <w:spacing w:afterLines="0"/>
        <w:ind w:firstLine="480" w:firstLineChars="200"/>
        <w:rPr>
          <w:rFonts w:hint="eastAsia" w:ascii="宋体" w:hAnsi="宋体" w:cs="Times New Roman"/>
        </w:rPr>
      </w:pPr>
      <w:r>
        <w:rPr>
          <w:rFonts w:hint="eastAsia" w:ascii="宋体" w:hAnsi="宋体" w:cs="Times New Roman"/>
        </w:rPr>
        <w:t>合同签订后12个月、24个月分别进行阶段验收，服务</w:t>
      </w:r>
      <w:r>
        <w:rPr>
          <w:rFonts w:ascii="宋体" w:hAnsi="宋体" w:cs="Times New Roman"/>
        </w:rPr>
        <w:t>满足甲方的要求</w:t>
      </w:r>
      <w:r>
        <w:rPr>
          <w:rFonts w:hint="eastAsia" w:ascii="宋体" w:hAnsi="宋体" w:cs="Times New Roman"/>
        </w:rPr>
        <w:t>，并</w:t>
      </w:r>
      <w:r>
        <w:rPr>
          <w:rFonts w:ascii="宋体" w:hAnsi="宋体" w:cs="Times New Roman"/>
        </w:rPr>
        <w:t>提交本项目</w:t>
      </w:r>
      <w:r>
        <w:rPr>
          <w:rFonts w:hint="eastAsia" w:ascii="宋体" w:hAnsi="宋体" w:cs="Times New Roman"/>
        </w:rPr>
        <w:t>至此阶段的</w:t>
      </w:r>
      <w:r>
        <w:rPr>
          <w:rFonts w:ascii="宋体" w:hAnsi="宋体" w:cs="Times New Roman"/>
        </w:rPr>
        <w:t>所有正式交付件。</w:t>
      </w:r>
    </w:p>
    <w:p>
      <w:pPr>
        <w:pStyle w:val="15"/>
        <w:spacing w:afterLines="0"/>
        <w:ind w:firstLine="480" w:firstLineChars="200"/>
        <w:rPr>
          <w:rFonts w:hint="eastAsia" w:ascii="宋体" w:hAnsi="宋体" w:cs="Times New Roman"/>
        </w:rPr>
      </w:pPr>
      <w:r>
        <w:rPr>
          <w:rFonts w:hint="eastAsia" w:ascii="宋体" w:hAnsi="宋体" w:cs="Times New Roman"/>
        </w:rPr>
        <w:t>2. 最终验收</w:t>
      </w:r>
    </w:p>
    <w:p>
      <w:pPr>
        <w:pStyle w:val="15"/>
        <w:spacing w:afterLines="0"/>
        <w:ind w:firstLine="480" w:firstLineChars="200"/>
        <w:rPr>
          <w:rFonts w:hint="eastAsia" w:ascii="宋体" w:hAnsi="宋体" w:cs="Times New Roman"/>
        </w:rPr>
      </w:pPr>
      <w:r>
        <w:rPr>
          <w:rFonts w:hint="eastAsia" w:ascii="宋体" w:hAnsi="宋体" w:cs="Times New Roman"/>
        </w:rPr>
        <w:t>进出口银行新外币资金系统投产上线并平稳运行满三个月，无因乙方数据迁移服务导致的问题，</w:t>
      </w:r>
      <w:r>
        <w:rPr>
          <w:rFonts w:ascii="宋体" w:hAnsi="宋体" w:cs="Times New Roman"/>
        </w:rPr>
        <w:t>招标需求各阶段工作任务完成，并且提交本项目的所有正式交付件</w:t>
      </w:r>
      <w:r>
        <w:rPr>
          <w:rFonts w:hint="eastAsia" w:ascii="宋体" w:hAnsi="宋体" w:cs="Times New Roman"/>
        </w:rPr>
        <w:t>后，满足进行最终验收的条件</w:t>
      </w:r>
      <w:r>
        <w:rPr>
          <w:rFonts w:ascii="宋体" w:hAnsi="宋体" w:cs="Times New Roman"/>
        </w:rPr>
        <w:t>。</w:t>
      </w:r>
    </w:p>
    <w:p>
      <w:pPr>
        <w:pStyle w:val="15"/>
        <w:spacing w:afterLines="0"/>
        <w:ind w:firstLine="480" w:firstLineChars="200"/>
        <w:rPr>
          <w:rFonts w:hint="eastAsia" w:ascii="宋体" w:hAnsi="宋体" w:cs="Times New Roman"/>
        </w:rPr>
      </w:pPr>
      <w:r>
        <w:rPr>
          <w:rFonts w:hint="eastAsia" w:ascii="宋体" w:hAnsi="宋体" w:cs="Times New Roman"/>
        </w:rPr>
        <w:t>产品许可部分：</w:t>
      </w:r>
    </w:p>
    <w:p>
      <w:pPr>
        <w:pStyle w:val="15"/>
        <w:numPr>
          <w:ilvl w:val="0"/>
          <w:numId w:val="13"/>
        </w:numPr>
        <w:spacing w:afterLines="0"/>
        <w:ind w:firstLine="480" w:firstLineChars="200"/>
        <w:rPr>
          <w:rFonts w:hint="eastAsia" w:ascii="宋体" w:hAnsi="宋体" w:cs="Times New Roman"/>
        </w:rPr>
      </w:pPr>
      <w:r>
        <w:rPr>
          <w:rFonts w:ascii="宋体" w:hAnsi="宋体" w:cs="Times New Roman"/>
        </w:rPr>
        <w:t>在产品维护期内，供应商提供产品使用许可授权。</w:t>
      </w:r>
    </w:p>
    <w:p>
      <w:pPr>
        <w:pStyle w:val="15"/>
        <w:numPr>
          <w:ilvl w:val="0"/>
          <w:numId w:val="13"/>
        </w:numPr>
        <w:spacing w:afterLines="0"/>
        <w:ind w:firstLine="480" w:firstLineChars="200"/>
        <w:rPr>
          <w:rFonts w:hint="eastAsia" w:ascii="宋体" w:hAnsi="宋体" w:cs="Times New Roman"/>
        </w:rPr>
      </w:pPr>
      <w:r>
        <w:rPr>
          <w:rFonts w:ascii="宋体" w:hAnsi="宋体" w:cs="Times New Roman"/>
        </w:rPr>
        <w:t>如果没有得到双方同意而延长了验收时间超过15日，那么视为此阶段验收合格。</w:t>
      </w:r>
    </w:p>
    <w:p>
      <w:pPr>
        <w:pStyle w:val="15"/>
        <w:numPr>
          <w:ilvl w:val="0"/>
          <w:numId w:val="12"/>
        </w:numPr>
        <w:spacing w:afterLines="0"/>
        <w:ind w:firstLine="480" w:firstLineChars="200"/>
        <w:rPr>
          <w:rFonts w:hint="eastAsia" w:ascii="宋体" w:hAnsi="宋体" w:cs="Times New Roman"/>
        </w:rPr>
      </w:pPr>
      <w:r>
        <w:rPr>
          <w:rFonts w:hint="eastAsia" w:ascii="宋体" w:hAnsi="宋体" w:cs="Times New Roman"/>
        </w:rPr>
        <w:t>文档验收标准</w:t>
      </w:r>
    </w:p>
    <w:p>
      <w:pPr>
        <w:pStyle w:val="15"/>
        <w:spacing w:afterLines="0"/>
        <w:ind w:firstLine="480" w:firstLineChars="200"/>
        <w:rPr>
          <w:rFonts w:hint="eastAsia" w:ascii="宋体" w:hAnsi="宋体" w:cs="Times New Roman"/>
        </w:rPr>
      </w:pPr>
      <w:r>
        <w:rPr>
          <w:rFonts w:ascii="宋体" w:hAnsi="宋体" w:cs="Times New Roman"/>
        </w:rPr>
        <w:fldChar w:fldCharType="begin"/>
      </w:r>
      <w:r>
        <w:rPr>
          <w:rFonts w:ascii="宋体" w:hAnsi="宋体" w:cs="Times New Roman"/>
        </w:rPr>
        <w:instrText xml:space="preserve"> = 1 \* GB3 \* MERGEFORMAT </w:instrText>
      </w:r>
      <w:r>
        <w:rPr>
          <w:rFonts w:ascii="宋体" w:hAnsi="宋体" w:cs="Times New Roman"/>
        </w:rPr>
        <w:fldChar w:fldCharType="separate"/>
      </w:r>
      <w:r>
        <w:rPr>
          <w:rFonts w:ascii="宋体" w:hAnsi="宋体"/>
        </w:rPr>
        <w:t>①</w:t>
      </w:r>
      <w:r>
        <w:rPr>
          <w:rFonts w:ascii="宋体" w:hAnsi="宋体" w:cs="Times New Roman"/>
        </w:rPr>
        <w:fldChar w:fldCharType="end"/>
      </w:r>
      <w:r>
        <w:rPr>
          <w:rFonts w:ascii="宋体" w:hAnsi="宋体" w:cs="Times New Roman"/>
        </w:rPr>
        <w:t>文档内容应包含对应工作阶段的所有工作任务的最终成果；</w:t>
      </w:r>
    </w:p>
    <w:p>
      <w:pPr>
        <w:pStyle w:val="15"/>
        <w:spacing w:afterLines="0"/>
        <w:ind w:firstLine="480" w:firstLineChars="200"/>
        <w:rPr>
          <w:rFonts w:hint="eastAsia" w:ascii="宋体" w:hAnsi="宋体" w:cs="Times New Roman"/>
        </w:rPr>
      </w:pPr>
      <w:r>
        <w:rPr>
          <w:rFonts w:ascii="宋体" w:hAnsi="宋体" w:cs="Times New Roman"/>
        </w:rPr>
        <w:fldChar w:fldCharType="begin"/>
      </w:r>
      <w:r>
        <w:rPr>
          <w:rFonts w:ascii="宋体" w:hAnsi="宋体" w:cs="Times New Roman"/>
        </w:rPr>
        <w:instrText xml:space="preserve"> = 2 \* GB3 \* MERGEFORMAT </w:instrText>
      </w:r>
      <w:r>
        <w:rPr>
          <w:rFonts w:ascii="宋体" w:hAnsi="宋体" w:cs="Times New Roman"/>
        </w:rPr>
        <w:fldChar w:fldCharType="separate"/>
      </w:r>
      <w:r>
        <w:rPr>
          <w:rFonts w:ascii="宋体" w:hAnsi="宋体"/>
        </w:rPr>
        <w:t>②</w:t>
      </w:r>
      <w:r>
        <w:rPr>
          <w:rFonts w:ascii="宋体" w:hAnsi="宋体" w:cs="Times New Roman"/>
        </w:rPr>
        <w:fldChar w:fldCharType="end"/>
      </w:r>
      <w:r>
        <w:rPr>
          <w:rFonts w:ascii="宋体" w:hAnsi="宋体" w:cs="Times New Roman"/>
        </w:rPr>
        <w:t>文档内容无重大分歧，甲方能够接受文档中的主要观点、认可文档中所体现的工作成果；</w:t>
      </w:r>
    </w:p>
    <w:p>
      <w:pPr>
        <w:pStyle w:val="15"/>
        <w:spacing w:afterLines="0"/>
        <w:ind w:firstLine="480" w:firstLineChars="200"/>
        <w:rPr>
          <w:rFonts w:hint="eastAsia" w:ascii="宋体" w:hAnsi="宋体" w:cs="Times New Roman"/>
        </w:rPr>
      </w:pPr>
      <w:r>
        <w:rPr>
          <w:rFonts w:ascii="宋体" w:hAnsi="宋体" w:cs="Times New Roman"/>
        </w:rPr>
        <w:fldChar w:fldCharType="begin"/>
      </w:r>
      <w:r>
        <w:rPr>
          <w:rFonts w:ascii="宋体" w:hAnsi="宋体" w:cs="Times New Roman"/>
        </w:rPr>
        <w:instrText xml:space="preserve"> = 3 \* GB3 \* MERGEFORMAT </w:instrText>
      </w:r>
      <w:r>
        <w:rPr>
          <w:rFonts w:ascii="宋体" w:hAnsi="宋体" w:cs="Times New Roman"/>
        </w:rPr>
        <w:fldChar w:fldCharType="separate"/>
      </w:r>
      <w:r>
        <w:rPr>
          <w:rFonts w:ascii="宋体" w:hAnsi="宋体"/>
        </w:rPr>
        <w:t>③</w:t>
      </w:r>
      <w:r>
        <w:rPr>
          <w:rFonts w:ascii="宋体" w:hAnsi="宋体" w:cs="Times New Roman"/>
        </w:rPr>
        <w:fldChar w:fldCharType="end"/>
      </w:r>
      <w:r>
        <w:rPr>
          <w:rFonts w:ascii="宋体" w:hAnsi="宋体" w:cs="Times New Roman"/>
        </w:rPr>
        <w:t>描述某一独立完整的系统功能的章节不存在颠覆性的错误（包括不真实、遗漏、误差、以及对使用者可能产生误导的信息）；</w:t>
      </w:r>
    </w:p>
    <w:p>
      <w:pPr>
        <w:pStyle w:val="15"/>
        <w:spacing w:afterLines="0"/>
        <w:ind w:firstLine="480" w:firstLineChars="200"/>
        <w:rPr>
          <w:rFonts w:hint="eastAsia" w:ascii="宋体" w:hAnsi="宋体" w:cs="Times New Roman"/>
        </w:rPr>
      </w:pPr>
      <w:r>
        <w:rPr>
          <w:rFonts w:ascii="宋体" w:hAnsi="宋体" w:cs="Times New Roman"/>
        </w:rPr>
        <w:fldChar w:fldCharType="begin"/>
      </w:r>
      <w:r>
        <w:rPr>
          <w:rFonts w:ascii="宋体" w:hAnsi="宋体" w:cs="Times New Roman"/>
        </w:rPr>
        <w:instrText xml:space="preserve"> = 4 \* GB3 \* MERGEFORMAT </w:instrText>
      </w:r>
      <w:r>
        <w:rPr>
          <w:rFonts w:ascii="宋体" w:hAnsi="宋体" w:cs="Times New Roman"/>
        </w:rPr>
        <w:fldChar w:fldCharType="separate"/>
      </w:r>
      <w:r>
        <w:rPr>
          <w:rFonts w:ascii="宋体" w:hAnsi="宋体"/>
        </w:rPr>
        <w:t>④</w:t>
      </w:r>
      <w:r>
        <w:rPr>
          <w:rFonts w:ascii="宋体" w:hAnsi="宋体" w:cs="Times New Roman"/>
        </w:rPr>
        <w:fldChar w:fldCharType="end"/>
      </w:r>
      <w:r>
        <w:rPr>
          <w:rFonts w:ascii="宋体" w:hAnsi="宋体" w:cs="Times New Roman"/>
        </w:rPr>
        <w:t>文字无重大或误导性错误，一般性错误的总字数不超过文档总字数的0.5％。</w:t>
      </w:r>
    </w:p>
    <w:p>
      <w:pPr>
        <w:pStyle w:val="15"/>
        <w:numPr>
          <w:ilvl w:val="0"/>
          <w:numId w:val="12"/>
        </w:numPr>
        <w:spacing w:afterLines="0"/>
        <w:ind w:firstLine="480" w:firstLineChars="200"/>
        <w:rPr>
          <w:rFonts w:hint="eastAsia" w:ascii="宋体" w:hAnsi="宋体" w:cs="Times New Roman"/>
        </w:rPr>
      </w:pPr>
      <w:r>
        <w:rPr>
          <w:rFonts w:hint="eastAsia" w:ascii="宋体" w:hAnsi="宋体" w:cs="Times New Roman"/>
        </w:rPr>
        <w:t>系统验收标准</w:t>
      </w:r>
    </w:p>
    <w:p>
      <w:pPr>
        <w:pStyle w:val="15"/>
        <w:spacing w:afterLines="0"/>
        <w:ind w:firstLine="480" w:firstLineChars="200"/>
        <w:rPr>
          <w:rFonts w:hint="eastAsia" w:ascii="宋体" w:hAnsi="宋体" w:cs="Times New Roman"/>
        </w:rPr>
      </w:pPr>
      <w:r>
        <w:rPr>
          <w:rFonts w:ascii="宋体" w:hAnsi="宋体" w:cs="Times New Roman"/>
        </w:rPr>
        <w:fldChar w:fldCharType="begin"/>
      </w:r>
      <w:r>
        <w:rPr>
          <w:rFonts w:ascii="宋体" w:hAnsi="宋体" w:cs="Times New Roman"/>
        </w:rPr>
        <w:instrText xml:space="preserve"> = 1 \* GB3 \* MERGEFORMAT </w:instrText>
      </w:r>
      <w:r>
        <w:rPr>
          <w:rFonts w:ascii="宋体" w:hAnsi="宋体" w:cs="Times New Roman"/>
        </w:rPr>
        <w:fldChar w:fldCharType="separate"/>
      </w:r>
      <w:r>
        <w:rPr>
          <w:rFonts w:ascii="宋体" w:hAnsi="宋体"/>
        </w:rPr>
        <w:t>①</w:t>
      </w:r>
      <w:r>
        <w:rPr>
          <w:rFonts w:ascii="宋体" w:hAnsi="宋体" w:cs="Times New Roman"/>
        </w:rPr>
        <w:fldChar w:fldCharType="end"/>
      </w:r>
      <w:r>
        <w:rPr>
          <w:rFonts w:ascii="宋体" w:hAnsi="宋体" w:cs="Times New Roman"/>
        </w:rPr>
        <w:t>系统投产上线后，系统运行正常；</w:t>
      </w:r>
    </w:p>
    <w:p>
      <w:pPr>
        <w:pStyle w:val="15"/>
        <w:spacing w:afterLines="0"/>
        <w:ind w:firstLine="480" w:firstLineChars="200"/>
        <w:rPr>
          <w:rFonts w:hint="eastAsia" w:ascii="宋体" w:hAnsi="宋体" w:cs="Times New Roman"/>
        </w:rPr>
      </w:pPr>
      <w:r>
        <w:rPr>
          <w:rFonts w:ascii="宋体" w:hAnsi="宋体" w:cs="Times New Roman"/>
        </w:rPr>
        <w:fldChar w:fldCharType="begin"/>
      </w:r>
      <w:r>
        <w:rPr>
          <w:rFonts w:ascii="宋体" w:hAnsi="宋体" w:cs="Times New Roman"/>
        </w:rPr>
        <w:instrText xml:space="preserve"> = 2 \* GB3 \* MERGEFORMAT </w:instrText>
      </w:r>
      <w:r>
        <w:rPr>
          <w:rFonts w:ascii="宋体" w:hAnsi="宋体" w:cs="Times New Roman"/>
        </w:rPr>
        <w:fldChar w:fldCharType="separate"/>
      </w:r>
      <w:r>
        <w:rPr>
          <w:rFonts w:ascii="宋体" w:hAnsi="宋体"/>
        </w:rPr>
        <w:t>②</w:t>
      </w:r>
      <w:r>
        <w:rPr>
          <w:rFonts w:ascii="宋体" w:hAnsi="宋体" w:cs="Times New Roman"/>
        </w:rPr>
        <w:fldChar w:fldCharType="end"/>
      </w:r>
      <w:r>
        <w:rPr>
          <w:rFonts w:ascii="宋体" w:hAnsi="宋体" w:cs="Times New Roman"/>
        </w:rPr>
        <w:t>系统符合本工作说明书、业务需求及运维的要求；</w:t>
      </w:r>
    </w:p>
    <w:p>
      <w:pPr>
        <w:pStyle w:val="15"/>
        <w:spacing w:afterLines="0"/>
        <w:ind w:firstLine="480" w:firstLineChars="200"/>
        <w:rPr>
          <w:rFonts w:hint="eastAsia" w:ascii="宋体" w:hAnsi="宋体" w:cs="Times New Roman"/>
        </w:rPr>
      </w:pPr>
      <w:r>
        <w:rPr>
          <w:rFonts w:ascii="宋体" w:hAnsi="宋体" w:cs="Times New Roman"/>
        </w:rPr>
        <w:fldChar w:fldCharType="begin"/>
      </w:r>
      <w:r>
        <w:rPr>
          <w:rFonts w:ascii="宋体" w:hAnsi="宋体" w:cs="Times New Roman"/>
        </w:rPr>
        <w:instrText xml:space="preserve"> = 3 \* GB3 \* MERGEFORMAT </w:instrText>
      </w:r>
      <w:r>
        <w:rPr>
          <w:rFonts w:ascii="宋体" w:hAnsi="宋体" w:cs="Times New Roman"/>
        </w:rPr>
        <w:fldChar w:fldCharType="separate"/>
      </w:r>
      <w:r>
        <w:rPr>
          <w:rFonts w:ascii="宋体" w:hAnsi="宋体"/>
        </w:rPr>
        <w:t>③</w:t>
      </w:r>
      <w:r>
        <w:rPr>
          <w:rFonts w:ascii="宋体" w:hAnsi="宋体" w:cs="Times New Roman"/>
        </w:rPr>
        <w:fldChar w:fldCharType="end"/>
      </w:r>
      <w:r>
        <w:rPr>
          <w:rFonts w:ascii="宋体" w:hAnsi="宋体" w:cs="Times New Roman"/>
        </w:rPr>
        <w:t>系统设计符合系统集成规划和标准；</w:t>
      </w:r>
    </w:p>
    <w:p>
      <w:pPr>
        <w:pStyle w:val="15"/>
        <w:spacing w:afterLines="0"/>
        <w:ind w:firstLine="480" w:firstLineChars="200"/>
        <w:rPr>
          <w:rFonts w:hint="eastAsia" w:ascii="宋体" w:hAnsi="宋体" w:cs="Times New Roman"/>
        </w:rPr>
      </w:pPr>
      <w:bookmarkStart w:id="29" w:name="_Toc241634332"/>
      <w:r>
        <w:rPr>
          <w:rFonts w:ascii="宋体" w:hAnsi="宋体" w:cs="Times New Roman"/>
        </w:rPr>
        <w:fldChar w:fldCharType="begin"/>
      </w:r>
      <w:r>
        <w:rPr>
          <w:rFonts w:ascii="宋体" w:hAnsi="宋体" w:cs="Times New Roman"/>
        </w:rPr>
        <w:instrText xml:space="preserve"> = 4 \* GB3 \* MERGEFORMAT </w:instrText>
      </w:r>
      <w:r>
        <w:rPr>
          <w:rFonts w:ascii="宋体" w:hAnsi="宋体" w:cs="Times New Roman"/>
        </w:rPr>
        <w:fldChar w:fldCharType="separate"/>
      </w:r>
      <w:r>
        <w:rPr>
          <w:rFonts w:ascii="宋体" w:hAnsi="宋体"/>
        </w:rPr>
        <w:t>④</w:t>
      </w:r>
      <w:r>
        <w:rPr>
          <w:rFonts w:ascii="宋体" w:hAnsi="宋体" w:cs="Times New Roman"/>
        </w:rPr>
        <w:fldChar w:fldCharType="end"/>
      </w:r>
      <w:r>
        <w:rPr>
          <w:rFonts w:ascii="宋体" w:hAnsi="宋体" w:cs="Times New Roman"/>
        </w:rPr>
        <w:t>系统的安全等级保护基本要求满足国家标准中对本系统的相应要求</w:t>
      </w:r>
      <w:bookmarkEnd w:id="29"/>
      <w:r>
        <w:rPr>
          <w:rFonts w:ascii="宋体" w:hAnsi="宋体" w:cs="Times New Roman"/>
        </w:rPr>
        <w:t>；</w:t>
      </w:r>
    </w:p>
    <w:p>
      <w:pPr>
        <w:pStyle w:val="15"/>
        <w:spacing w:afterLines="0"/>
        <w:ind w:firstLine="480" w:firstLineChars="200"/>
        <w:rPr>
          <w:rFonts w:hint="eastAsia" w:ascii="宋体" w:hAnsi="宋体" w:cs="Times New Roman"/>
        </w:rPr>
      </w:pPr>
      <w:r>
        <w:rPr>
          <w:rFonts w:ascii="宋体" w:hAnsi="宋体" w:cs="Times New Roman"/>
        </w:rPr>
        <w:fldChar w:fldCharType="begin"/>
      </w:r>
      <w:r>
        <w:rPr>
          <w:rFonts w:ascii="宋体" w:hAnsi="宋体" w:cs="Times New Roman"/>
        </w:rPr>
        <w:instrText xml:space="preserve"> = 5 \* GB3 \* MERGEFORMAT </w:instrText>
      </w:r>
      <w:r>
        <w:rPr>
          <w:rFonts w:ascii="宋体" w:hAnsi="宋体" w:cs="Times New Roman"/>
        </w:rPr>
        <w:fldChar w:fldCharType="separate"/>
      </w:r>
      <w:r>
        <w:rPr>
          <w:rFonts w:ascii="宋体" w:hAnsi="宋体"/>
        </w:rPr>
        <w:t>⑤</w:t>
      </w:r>
      <w:r>
        <w:rPr>
          <w:rFonts w:ascii="宋体" w:hAnsi="宋体" w:cs="Times New Roman"/>
        </w:rPr>
        <w:fldChar w:fldCharType="end"/>
      </w:r>
      <w:r>
        <w:rPr>
          <w:rFonts w:ascii="宋体" w:hAnsi="宋体" w:cs="Times New Roman"/>
        </w:rPr>
        <w:t>系统设计质量符合</w:t>
      </w:r>
      <w:r>
        <w:rPr>
          <w:rFonts w:hint="eastAsia" w:ascii="宋体" w:hAnsi="宋体" w:cs="Times New Roman"/>
        </w:rPr>
        <w:t>国家及行业标准。</w:t>
      </w:r>
    </w:p>
    <w:p>
      <w:pPr>
        <w:pStyle w:val="15"/>
        <w:numPr>
          <w:ilvl w:val="0"/>
          <w:numId w:val="12"/>
        </w:numPr>
        <w:spacing w:afterLines="0"/>
        <w:ind w:firstLine="480" w:firstLineChars="200"/>
        <w:rPr>
          <w:rFonts w:hint="eastAsia" w:ascii="宋体" w:hAnsi="宋体" w:cs="Times New Roman"/>
        </w:rPr>
      </w:pPr>
      <w:r>
        <w:rPr>
          <w:rFonts w:hint="eastAsia" w:ascii="宋体" w:hAnsi="宋体" w:cs="Times New Roman"/>
        </w:rPr>
        <w:t>产品许可验收标准</w:t>
      </w:r>
    </w:p>
    <w:p>
      <w:pPr>
        <w:pStyle w:val="15"/>
        <w:numPr>
          <w:ilvl w:val="0"/>
          <w:numId w:val="14"/>
        </w:numPr>
        <w:spacing w:afterLines="0"/>
        <w:ind w:firstLine="480" w:firstLineChars="200"/>
        <w:rPr>
          <w:rFonts w:hint="eastAsia" w:ascii="宋体" w:hAnsi="宋体" w:cs="Times New Roman"/>
        </w:rPr>
      </w:pPr>
      <w:r>
        <w:rPr>
          <w:rFonts w:hint="eastAsia" w:ascii="宋体" w:hAnsi="宋体" w:cs="Times New Roman"/>
        </w:rPr>
        <w:t>供应商应在维护期内提供了符合合同约定的服务。</w:t>
      </w:r>
    </w:p>
    <w:p>
      <w:pPr>
        <w:pStyle w:val="15"/>
        <w:numPr>
          <w:ilvl w:val="0"/>
          <w:numId w:val="14"/>
        </w:numPr>
        <w:spacing w:afterLines="0"/>
        <w:ind w:firstLine="480" w:firstLineChars="200"/>
        <w:rPr>
          <w:rFonts w:hint="eastAsia" w:ascii="宋体" w:hAnsi="宋体" w:cs="Times New Roman"/>
        </w:rPr>
      </w:pPr>
      <w:r>
        <w:rPr>
          <w:rFonts w:hint="eastAsia" w:ascii="宋体" w:hAnsi="宋体" w:cs="Times New Roman"/>
        </w:rPr>
        <w:t>验收方式：</w:t>
      </w:r>
      <w:r>
        <w:rPr>
          <w:rFonts w:ascii="宋体" w:hAnsi="宋体" w:cs="Times New Roman"/>
        </w:rPr>
        <w:t>甲方组织验收</w:t>
      </w:r>
      <w:r>
        <w:rPr>
          <w:rFonts w:hint="eastAsia" w:ascii="宋体" w:hAnsi="宋体" w:cs="Times New Roman"/>
        </w:rPr>
        <w:t>。</w:t>
      </w:r>
    </w:p>
    <w:p>
      <w:pPr>
        <w:pStyle w:val="15"/>
        <w:numPr>
          <w:ilvl w:val="0"/>
          <w:numId w:val="14"/>
        </w:numPr>
        <w:spacing w:afterLines="0"/>
        <w:ind w:firstLine="480" w:firstLineChars="200"/>
        <w:rPr>
          <w:rFonts w:hint="eastAsia" w:ascii="宋体" w:hAnsi="宋体" w:cs="Times New Roman"/>
        </w:rPr>
      </w:pPr>
      <w:r>
        <w:rPr>
          <w:rFonts w:hint="eastAsia" w:ascii="宋体" w:hAnsi="宋体" w:cs="Times New Roman"/>
        </w:rPr>
        <w:t>验收程序</w:t>
      </w:r>
    </w:p>
    <w:p>
      <w:pPr>
        <w:pStyle w:val="15"/>
        <w:spacing w:afterLines="0"/>
        <w:ind w:firstLine="480" w:firstLineChars="200"/>
        <w:rPr>
          <w:rFonts w:hint="eastAsia" w:ascii="宋体" w:hAnsi="宋体" w:cs="Times New Roman"/>
        </w:rPr>
      </w:pPr>
      <w:r>
        <w:rPr>
          <w:rFonts w:ascii="宋体" w:hAnsi="宋体" w:cs="Times New Roman"/>
        </w:rPr>
        <w:fldChar w:fldCharType="begin"/>
      </w:r>
      <w:r>
        <w:rPr>
          <w:rFonts w:ascii="宋体" w:hAnsi="宋体" w:cs="Times New Roman"/>
        </w:rPr>
        <w:instrText xml:space="preserve"> = 1 \* GB3 \* MERGEFORMAT </w:instrText>
      </w:r>
      <w:r>
        <w:rPr>
          <w:rFonts w:ascii="宋体" w:hAnsi="宋体" w:cs="Times New Roman"/>
        </w:rPr>
        <w:fldChar w:fldCharType="separate"/>
      </w:r>
      <w:r>
        <w:rPr>
          <w:rFonts w:ascii="宋体" w:hAnsi="宋体" w:cs="Times New Roman"/>
        </w:rPr>
        <w:t>①</w:t>
      </w:r>
      <w:r>
        <w:rPr>
          <w:rFonts w:ascii="宋体" w:hAnsi="宋体" w:cs="Times New Roman"/>
        </w:rPr>
        <w:fldChar w:fldCharType="end"/>
      </w:r>
      <w:r>
        <w:rPr>
          <w:rFonts w:hint="eastAsia" w:ascii="宋体" w:hAnsi="宋体" w:cs="Times New Roman"/>
        </w:rPr>
        <w:t>在产品维护期内，供应商提供产品使用许可。</w:t>
      </w:r>
    </w:p>
    <w:p>
      <w:pPr>
        <w:pStyle w:val="15"/>
        <w:spacing w:afterLines="0"/>
        <w:ind w:firstLine="480" w:firstLineChars="200"/>
        <w:rPr>
          <w:rFonts w:hint="eastAsia" w:ascii="宋体" w:hAnsi="宋体" w:cs="Times New Roman"/>
        </w:rPr>
      </w:pPr>
      <w:r>
        <w:rPr>
          <w:rFonts w:ascii="宋体" w:hAnsi="宋体" w:cs="Times New Roman"/>
        </w:rPr>
        <w:fldChar w:fldCharType="begin"/>
      </w:r>
      <w:r>
        <w:rPr>
          <w:rFonts w:ascii="宋体" w:hAnsi="宋体" w:cs="Times New Roman"/>
        </w:rPr>
        <w:instrText xml:space="preserve"> = 2 \* GB3 \* MERGEFORMAT </w:instrText>
      </w:r>
      <w:r>
        <w:rPr>
          <w:rFonts w:ascii="宋体" w:hAnsi="宋体" w:cs="Times New Roman"/>
        </w:rPr>
        <w:fldChar w:fldCharType="separate"/>
      </w:r>
      <w:r>
        <w:rPr>
          <w:rFonts w:ascii="宋体" w:hAnsi="宋体"/>
        </w:rPr>
        <w:t>②</w:t>
      </w:r>
      <w:r>
        <w:rPr>
          <w:rFonts w:ascii="宋体" w:hAnsi="宋体" w:cs="Times New Roman"/>
        </w:rPr>
        <w:fldChar w:fldCharType="end"/>
      </w:r>
      <w:r>
        <w:rPr>
          <w:rFonts w:hint="eastAsia" w:ascii="宋体" w:hAnsi="宋体" w:cs="Times New Roman"/>
        </w:rPr>
        <w:t>如果没有得到双方同意而延长了验收时间超过</w:t>
      </w:r>
      <w:r>
        <w:rPr>
          <w:rFonts w:ascii="宋体" w:hAnsi="宋体" w:cs="Times New Roman"/>
        </w:rPr>
        <w:t>15</w:t>
      </w:r>
      <w:r>
        <w:rPr>
          <w:rFonts w:hint="eastAsia" w:ascii="宋体" w:hAnsi="宋体" w:cs="Times New Roman"/>
        </w:rPr>
        <w:t>日，那么视为此阶段验收合格。</w:t>
      </w:r>
    </w:p>
    <w:p>
      <w:pPr>
        <w:pStyle w:val="15"/>
        <w:numPr>
          <w:ilvl w:val="0"/>
          <w:numId w:val="14"/>
        </w:numPr>
        <w:spacing w:afterLines="0"/>
        <w:ind w:firstLine="480" w:firstLineChars="200"/>
        <w:rPr>
          <w:rFonts w:hint="eastAsia" w:ascii="宋体" w:hAnsi="宋体" w:cs="Times New Roman"/>
        </w:rPr>
      </w:pPr>
      <w:r>
        <w:rPr>
          <w:rFonts w:hint="eastAsia" w:ascii="宋体" w:hAnsi="宋体" w:cs="Times New Roman"/>
        </w:rPr>
        <w:t>采购人对系统任何交付物的验收并不减损供应商在本合同项下的责任、义务以及在交付以外的工作；采购人对任何交付物的验收仅是为了满足采购人对相关文件与实施工作适合性方面的评估，而不对该文件的准确性或完整性、或其任何缺陷、不适当或不符合合同文件的要求而承担责任，所有上述事项的责任和义务应由供应商承担。</w:t>
      </w:r>
    </w:p>
    <w:p>
      <w:pPr>
        <w:pStyle w:val="15"/>
        <w:numPr>
          <w:ilvl w:val="0"/>
          <w:numId w:val="12"/>
        </w:numPr>
        <w:spacing w:afterLines="0"/>
        <w:ind w:firstLine="480" w:firstLineChars="200"/>
        <w:rPr>
          <w:rFonts w:hint="eastAsia" w:ascii="宋体" w:hAnsi="宋体" w:cs="Times New Roman"/>
        </w:rPr>
      </w:pPr>
      <w:r>
        <w:rPr>
          <w:rFonts w:hint="eastAsia" w:ascii="宋体" w:hAnsi="宋体" w:cs="Times New Roman"/>
        </w:rPr>
        <w:t>SLA考核指标</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4309"/>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pct"/>
            <w:noWrap w:val="0"/>
            <w:vAlign w:val="top"/>
          </w:tcPr>
          <w:p>
            <w:pPr>
              <w:pStyle w:val="15"/>
              <w:spacing w:afterLines="0" w:line="240" w:lineRule="auto"/>
              <w:jc w:val="center"/>
              <w:rPr>
                <w:rFonts w:hint="eastAsia" w:ascii="宋体" w:hAnsi="宋体" w:cs="Times New Roman"/>
                <w:b/>
                <w:bCs/>
              </w:rPr>
            </w:pPr>
            <w:r>
              <w:rPr>
                <w:rFonts w:ascii="宋体" w:hAnsi="宋体" w:cs="Times New Roman"/>
                <w:b/>
                <w:bCs/>
              </w:rPr>
              <w:t>服务指标</w:t>
            </w:r>
          </w:p>
        </w:tc>
        <w:tc>
          <w:tcPr>
            <w:tcW w:w="2528" w:type="pct"/>
            <w:noWrap w:val="0"/>
            <w:vAlign w:val="top"/>
          </w:tcPr>
          <w:p>
            <w:pPr>
              <w:pStyle w:val="15"/>
              <w:spacing w:afterLines="0" w:line="240" w:lineRule="auto"/>
              <w:jc w:val="center"/>
              <w:rPr>
                <w:rFonts w:hint="eastAsia" w:ascii="宋体" w:hAnsi="宋体" w:cs="Times New Roman"/>
                <w:b/>
                <w:bCs/>
              </w:rPr>
            </w:pPr>
            <w:r>
              <w:rPr>
                <w:rFonts w:ascii="宋体" w:hAnsi="宋体" w:cs="Times New Roman"/>
                <w:b/>
                <w:bCs/>
              </w:rPr>
              <w:t>指标评判</w:t>
            </w:r>
          </w:p>
        </w:tc>
        <w:tc>
          <w:tcPr>
            <w:tcW w:w="989" w:type="pct"/>
            <w:noWrap w:val="0"/>
            <w:vAlign w:val="top"/>
          </w:tcPr>
          <w:p>
            <w:pPr>
              <w:pStyle w:val="15"/>
              <w:spacing w:afterLines="0" w:line="240" w:lineRule="auto"/>
              <w:jc w:val="center"/>
              <w:rPr>
                <w:rFonts w:hint="eastAsia" w:ascii="宋体" w:hAnsi="宋体" w:cs="Times New Roman"/>
                <w:b/>
                <w:bCs/>
              </w:rPr>
            </w:pPr>
            <w:r>
              <w:rPr>
                <w:rFonts w:ascii="宋体" w:hAnsi="宋体" w:cs="Times New Roman"/>
                <w:b/>
                <w:bCs/>
              </w:rPr>
              <w:t>指标占比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pct"/>
            <w:noWrap w:val="0"/>
            <w:vAlign w:val="top"/>
          </w:tcPr>
          <w:p>
            <w:pPr>
              <w:pStyle w:val="15"/>
              <w:spacing w:afterLines="0" w:line="240" w:lineRule="auto"/>
              <w:jc w:val="center"/>
              <w:rPr>
                <w:rFonts w:hint="eastAsia" w:ascii="宋体" w:hAnsi="宋体" w:cs="Times New Roman"/>
                <w:b/>
                <w:bCs/>
              </w:rPr>
            </w:pPr>
            <w:r>
              <w:rPr>
                <w:rFonts w:ascii="宋体" w:hAnsi="宋体" w:cs="Times New Roman"/>
                <w:b/>
                <w:bCs/>
              </w:rPr>
              <w:t>运行操作</w:t>
            </w:r>
          </w:p>
        </w:tc>
        <w:tc>
          <w:tcPr>
            <w:tcW w:w="2528" w:type="pct"/>
            <w:noWrap w:val="0"/>
            <w:vAlign w:val="top"/>
          </w:tcPr>
          <w:p>
            <w:pPr>
              <w:pStyle w:val="15"/>
              <w:spacing w:afterLines="0" w:line="240" w:lineRule="auto"/>
              <w:jc w:val="center"/>
              <w:rPr>
                <w:rFonts w:hint="eastAsia" w:ascii="宋体" w:hAnsi="宋体" w:cs="Times New Roman"/>
              </w:rPr>
            </w:pPr>
            <w:r>
              <w:rPr>
                <w:rFonts w:ascii="宋体" w:hAnsi="宋体" w:cs="Times New Roman"/>
              </w:rPr>
              <w:t>按操作情况判定</w:t>
            </w:r>
          </w:p>
        </w:tc>
        <w:tc>
          <w:tcPr>
            <w:tcW w:w="989" w:type="pct"/>
            <w:noWrap w:val="0"/>
            <w:vAlign w:val="top"/>
          </w:tcPr>
          <w:p>
            <w:pPr>
              <w:pStyle w:val="15"/>
              <w:spacing w:afterLines="0" w:line="240" w:lineRule="auto"/>
              <w:jc w:val="center"/>
              <w:rPr>
                <w:rFonts w:hint="eastAsia" w:ascii="宋体" w:hAnsi="宋体" w:cs="Times New Roman"/>
              </w:rPr>
            </w:pPr>
            <w:r>
              <w:rPr>
                <w:rFonts w:ascii="宋体" w:hAnsi="宋体" w:cs="Times New Roma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pct"/>
            <w:noWrap w:val="0"/>
            <w:vAlign w:val="top"/>
          </w:tcPr>
          <w:p>
            <w:pPr>
              <w:pStyle w:val="15"/>
              <w:spacing w:afterLines="0" w:line="240" w:lineRule="auto"/>
              <w:jc w:val="center"/>
              <w:rPr>
                <w:rFonts w:hint="eastAsia" w:ascii="宋体" w:hAnsi="宋体" w:cs="Times New Roman"/>
                <w:b/>
                <w:bCs/>
              </w:rPr>
            </w:pPr>
            <w:r>
              <w:rPr>
                <w:rFonts w:ascii="宋体" w:hAnsi="宋体" w:cs="Times New Roman"/>
                <w:b/>
                <w:bCs/>
              </w:rPr>
              <w:t>现场支持服务</w:t>
            </w:r>
          </w:p>
        </w:tc>
        <w:tc>
          <w:tcPr>
            <w:tcW w:w="2528" w:type="pct"/>
            <w:noWrap w:val="0"/>
            <w:vAlign w:val="top"/>
          </w:tcPr>
          <w:p>
            <w:pPr>
              <w:pStyle w:val="15"/>
              <w:spacing w:afterLines="0" w:line="240" w:lineRule="auto"/>
              <w:jc w:val="center"/>
              <w:rPr>
                <w:rFonts w:hint="eastAsia" w:ascii="宋体" w:hAnsi="宋体" w:cs="Times New Roman"/>
              </w:rPr>
            </w:pPr>
            <w:r>
              <w:rPr>
                <w:rFonts w:ascii="宋体" w:hAnsi="宋体" w:cs="Times New Roman"/>
              </w:rPr>
              <w:t>优100-良80-中60-差0</w:t>
            </w:r>
          </w:p>
        </w:tc>
        <w:tc>
          <w:tcPr>
            <w:tcW w:w="989" w:type="pct"/>
            <w:noWrap w:val="0"/>
            <w:vAlign w:val="top"/>
          </w:tcPr>
          <w:p>
            <w:pPr>
              <w:pStyle w:val="15"/>
              <w:spacing w:afterLines="0" w:line="240" w:lineRule="auto"/>
              <w:jc w:val="center"/>
              <w:rPr>
                <w:rFonts w:hint="eastAsia" w:ascii="宋体" w:hAnsi="宋体" w:cs="Times New Roman"/>
              </w:rPr>
            </w:pPr>
            <w:r>
              <w:rPr>
                <w:rFonts w:ascii="宋体" w:hAnsi="宋体" w:cs="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pct"/>
            <w:noWrap w:val="0"/>
            <w:vAlign w:val="top"/>
          </w:tcPr>
          <w:p>
            <w:pPr>
              <w:pStyle w:val="15"/>
              <w:spacing w:afterLines="0" w:line="240" w:lineRule="auto"/>
              <w:jc w:val="center"/>
              <w:rPr>
                <w:rFonts w:hint="eastAsia" w:ascii="宋体" w:hAnsi="宋体" w:cs="Times New Roman"/>
                <w:b/>
                <w:bCs/>
              </w:rPr>
            </w:pPr>
            <w:r>
              <w:rPr>
                <w:rFonts w:ascii="宋体" w:hAnsi="宋体" w:cs="Times New Roman"/>
                <w:b/>
                <w:bCs/>
              </w:rPr>
              <w:t>服务支持管理</w:t>
            </w:r>
          </w:p>
        </w:tc>
        <w:tc>
          <w:tcPr>
            <w:tcW w:w="2528" w:type="pct"/>
            <w:noWrap w:val="0"/>
            <w:vAlign w:val="top"/>
          </w:tcPr>
          <w:p>
            <w:pPr>
              <w:pStyle w:val="15"/>
              <w:spacing w:afterLines="0" w:line="240" w:lineRule="auto"/>
              <w:jc w:val="center"/>
              <w:rPr>
                <w:rFonts w:hint="eastAsia" w:ascii="宋体" w:hAnsi="宋体" w:cs="Times New Roman"/>
              </w:rPr>
            </w:pPr>
            <w:r>
              <w:rPr>
                <w:rFonts w:ascii="宋体" w:hAnsi="宋体" w:cs="Times New Roman"/>
              </w:rPr>
              <w:t>优100-良80-中60-差0</w:t>
            </w:r>
          </w:p>
        </w:tc>
        <w:tc>
          <w:tcPr>
            <w:tcW w:w="989" w:type="pct"/>
            <w:noWrap w:val="0"/>
            <w:vAlign w:val="top"/>
          </w:tcPr>
          <w:p>
            <w:pPr>
              <w:pStyle w:val="15"/>
              <w:spacing w:afterLines="0" w:line="240" w:lineRule="auto"/>
              <w:jc w:val="center"/>
              <w:rPr>
                <w:rFonts w:hint="eastAsia" w:ascii="宋体" w:hAnsi="宋体" w:cs="Times New Roman"/>
              </w:rPr>
            </w:pPr>
            <w:r>
              <w:rPr>
                <w:rFonts w:ascii="宋体" w:hAnsi="宋体" w:cs="Times New Roma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pct"/>
            <w:noWrap w:val="0"/>
            <w:vAlign w:val="top"/>
          </w:tcPr>
          <w:p>
            <w:pPr>
              <w:pStyle w:val="15"/>
              <w:spacing w:afterLines="0" w:line="240" w:lineRule="auto"/>
              <w:jc w:val="center"/>
              <w:rPr>
                <w:rFonts w:hint="eastAsia" w:ascii="宋体" w:hAnsi="宋体" w:cs="Times New Roman"/>
                <w:b/>
                <w:bCs/>
              </w:rPr>
            </w:pPr>
            <w:r>
              <w:rPr>
                <w:rFonts w:ascii="宋体" w:hAnsi="宋体" w:cs="Times New Roman"/>
                <w:b/>
                <w:bCs/>
              </w:rPr>
              <w:t>事件响应</w:t>
            </w:r>
          </w:p>
        </w:tc>
        <w:tc>
          <w:tcPr>
            <w:tcW w:w="2528" w:type="pct"/>
            <w:noWrap w:val="0"/>
            <w:vAlign w:val="top"/>
          </w:tcPr>
          <w:p>
            <w:pPr>
              <w:pStyle w:val="15"/>
              <w:spacing w:afterLines="0" w:line="240" w:lineRule="auto"/>
              <w:jc w:val="center"/>
              <w:rPr>
                <w:rFonts w:hint="eastAsia" w:ascii="宋体" w:hAnsi="宋体" w:cs="Times New Roman"/>
              </w:rPr>
            </w:pPr>
            <w:r>
              <w:rPr>
                <w:rFonts w:ascii="宋体" w:hAnsi="宋体" w:cs="Times New Roman"/>
              </w:rPr>
              <w:t>优100-良80-中60-差0</w:t>
            </w:r>
          </w:p>
        </w:tc>
        <w:tc>
          <w:tcPr>
            <w:tcW w:w="989" w:type="pct"/>
            <w:noWrap w:val="0"/>
            <w:vAlign w:val="top"/>
          </w:tcPr>
          <w:p>
            <w:pPr>
              <w:pStyle w:val="15"/>
              <w:spacing w:afterLines="0" w:line="240" w:lineRule="auto"/>
              <w:jc w:val="center"/>
              <w:rPr>
                <w:rFonts w:hint="eastAsia" w:ascii="宋体" w:hAnsi="宋体" w:cs="Times New Roman"/>
              </w:rPr>
            </w:pPr>
            <w:r>
              <w:rPr>
                <w:rFonts w:ascii="宋体" w:hAnsi="宋体" w:cs="Times New Roma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pct"/>
            <w:noWrap w:val="0"/>
            <w:vAlign w:val="top"/>
          </w:tcPr>
          <w:p>
            <w:pPr>
              <w:pStyle w:val="15"/>
              <w:spacing w:afterLines="0" w:line="240" w:lineRule="auto"/>
              <w:jc w:val="center"/>
              <w:rPr>
                <w:rFonts w:hint="eastAsia" w:ascii="宋体" w:hAnsi="宋体" w:cs="Times New Roman"/>
                <w:b/>
                <w:bCs/>
              </w:rPr>
            </w:pPr>
            <w:r>
              <w:rPr>
                <w:rFonts w:ascii="宋体" w:hAnsi="宋体" w:cs="Times New Roman"/>
                <w:b/>
                <w:bCs/>
              </w:rPr>
              <w:t>工作合规性</w:t>
            </w:r>
          </w:p>
        </w:tc>
        <w:tc>
          <w:tcPr>
            <w:tcW w:w="2528" w:type="pct"/>
            <w:noWrap w:val="0"/>
            <w:vAlign w:val="top"/>
          </w:tcPr>
          <w:p>
            <w:pPr>
              <w:pStyle w:val="15"/>
              <w:spacing w:afterLines="0" w:line="240" w:lineRule="auto"/>
              <w:jc w:val="center"/>
              <w:rPr>
                <w:rFonts w:hint="eastAsia" w:ascii="宋体" w:hAnsi="宋体" w:cs="Times New Roman"/>
              </w:rPr>
            </w:pPr>
            <w:r>
              <w:rPr>
                <w:rFonts w:ascii="宋体" w:hAnsi="宋体" w:cs="Times New Roman"/>
              </w:rPr>
              <w:t>违规操作1次扣总分20分</w:t>
            </w:r>
          </w:p>
        </w:tc>
        <w:tc>
          <w:tcPr>
            <w:tcW w:w="989" w:type="pct"/>
            <w:noWrap w:val="0"/>
            <w:vAlign w:val="top"/>
          </w:tcPr>
          <w:p>
            <w:pPr>
              <w:pStyle w:val="15"/>
              <w:spacing w:afterLines="0" w:line="240" w:lineRule="auto"/>
              <w:jc w:val="center"/>
              <w:rPr>
                <w:rFonts w:hint="eastAsia" w:ascii="宋体" w:hAnsi="宋体" w:cs="Times New Roman"/>
              </w:rPr>
            </w:pPr>
            <w:r>
              <w:rPr>
                <w:rFonts w:ascii="宋体" w:hAnsi="宋体" w:cs="Times New Roman"/>
              </w:rPr>
              <w:t>―――</w:t>
            </w:r>
          </w:p>
        </w:tc>
      </w:tr>
    </w:tbl>
    <w:p>
      <w:pPr>
        <w:pStyle w:val="15"/>
        <w:numPr>
          <w:ilvl w:val="0"/>
          <w:numId w:val="0"/>
        </w:numPr>
        <w:spacing w:afterLines="0"/>
        <w:ind w:firstLine="480" w:firstLineChars="200"/>
        <w:rPr>
          <w:rFonts w:hint="eastAsia" w:ascii="宋体" w:hAnsi="宋体" w:cs="Times New Roman"/>
        </w:rPr>
      </w:pPr>
      <w:r>
        <w:rPr>
          <w:rFonts w:ascii="宋体" w:hAnsi="宋体" w:cs="Times New Roman"/>
        </w:rPr>
        <w:t>SLA等级</w:t>
      </w:r>
    </w:p>
    <w:p>
      <w:pPr>
        <w:pStyle w:val="15"/>
        <w:spacing w:afterLines="0"/>
        <w:ind w:firstLine="480" w:firstLineChars="200"/>
        <w:rPr>
          <w:rFonts w:hint="eastAsia" w:ascii="宋体" w:hAnsi="宋体" w:cs="Times New Roman"/>
        </w:rPr>
      </w:pPr>
      <w:r>
        <w:rPr>
          <w:rFonts w:ascii="宋体" w:hAnsi="宋体" w:cs="Times New Roman"/>
        </w:rPr>
        <w:t xml:space="preserve">根据SLA最后得分情况，划分为四个等级： </w:t>
      </w:r>
    </w:p>
    <w:p>
      <w:pPr>
        <w:pStyle w:val="15"/>
        <w:spacing w:afterLines="0"/>
        <w:ind w:firstLine="480" w:firstLineChars="200"/>
        <w:rPr>
          <w:rFonts w:hint="eastAsia" w:ascii="宋体" w:hAnsi="宋体" w:cs="Times New Roman"/>
        </w:rPr>
      </w:pPr>
      <w:r>
        <w:rPr>
          <w:rFonts w:ascii="宋体" w:hAnsi="宋体" w:cs="Times New Roman"/>
        </w:rPr>
        <w:t>SLA&gt;=95的为优</w:t>
      </w:r>
    </w:p>
    <w:p>
      <w:pPr>
        <w:pStyle w:val="15"/>
        <w:spacing w:afterLines="0"/>
        <w:ind w:firstLine="480" w:firstLineChars="200"/>
        <w:rPr>
          <w:rFonts w:hint="eastAsia" w:ascii="宋体" w:hAnsi="宋体" w:cs="Times New Roman"/>
        </w:rPr>
      </w:pPr>
      <w:r>
        <w:rPr>
          <w:rFonts w:ascii="宋体" w:hAnsi="宋体" w:cs="Times New Roman"/>
        </w:rPr>
        <w:t xml:space="preserve">SLA在80-95的为良 </w:t>
      </w:r>
    </w:p>
    <w:p>
      <w:pPr>
        <w:pStyle w:val="15"/>
        <w:spacing w:afterLines="0"/>
        <w:ind w:firstLine="480" w:firstLineChars="200"/>
        <w:rPr>
          <w:rFonts w:hint="eastAsia" w:ascii="宋体" w:hAnsi="宋体" w:cs="Times New Roman"/>
        </w:rPr>
      </w:pPr>
      <w:r>
        <w:rPr>
          <w:rFonts w:ascii="宋体" w:hAnsi="宋体" w:cs="Times New Roman"/>
        </w:rPr>
        <w:t>SLA在60-80的为中</w:t>
      </w:r>
    </w:p>
    <w:p>
      <w:pPr>
        <w:pStyle w:val="15"/>
        <w:spacing w:afterLines="0"/>
        <w:ind w:firstLine="480" w:firstLineChars="200"/>
        <w:rPr>
          <w:rFonts w:hint="eastAsia" w:ascii="宋体" w:hAnsi="宋体" w:cs="Times New Roman"/>
        </w:rPr>
      </w:pPr>
      <w:r>
        <w:rPr>
          <w:rFonts w:ascii="宋体" w:hAnsi="宋体" w:cs="Times New Roman"/>
        </w:rPr>
        <w:t>SLA&lt;60的为差</w:t>
      </w:r>
    </w:p>
    <w:p>
      <w:pPr>
        <w:pStyle w:val="15"/>
        <w:numPr>
          <w:ilvl w:val="0"/>
          <w:numId w:val="0"/>
        </w:numPr>
        <w:spacing w:afterLines="0"/>
        <w:ind w:firstLine="480" w:firstLineChars="200"/>
        <w:rPr>
          <w:rFonts w:hint="eastAsia" w:ascii="宋体" w:hAnsi="宋体" w:cs="Times New Roman"/>
        </w:rPr>
      </w:pPr>
      <w:r>
        <w:rPr>
          <w:rFonts w:ascii="宋体" w:hAnsi="宋体" w:cs="Times New Roman"/>
        </w:rPr>
        <w:t>罚则</w:t>
      </w:r>
    </w:p>
    <w:p>
      <w:pPr>
        <w:pStyle w:val="15"/>
        <w:spacing w:afterLines="0"/>
        <w:ind w:firstLine="480" w:firstLineChars="200"/>
        <w:rPr>
          <w:rFonts w:hint="eastAsia" w:ascii="宋体" w:hAnsi="宋体" w:cs="Times New Roman"/>
        </w:rPr>
      </w:pPr>
      <w:r>
        <w:rPr>
          <w:rFonts w:ascii="宋体" w:hAnsi="宋体" w:cs="Times New Roman"/>
        </w:rPr>
        <w:t>SLA考核为良：约谈公司高管，提出服务质量保障具体措施并限期落实；</w:t>
      </w:r>
    </w:p>
    <w:p>
      <w:pPr>
        <w:pStyle w:val="15"/>
        <w:spacing w:afterLines="0"/>
        <w:ind w:firstLine="480" w:firstLineChars="200"/>
        <w:rPr>
          <w:rFonts w:hint="eastAsia" w:ascii="宋体" w:hAnsi="宋体" w:cs="Times New Roman"/>
        </w:rPr>
      </w:pPr>
      <w:r>
        <w:rPr>
          <w:rFonts w:ascii="宋体" w:hAnsi="宋体" w:cs="Times New Roman"/>
        </w:rPr>
        <w:t>SLA考核为中：约谈公司高管，提出服务质量保障具体措施并限期落实，从本次付款起每期付款顺次延迟半年支付，如有多次延迟的，延迟期限叠加。</w:t>
      </w:r>
      <w:bookmarkStart w:id="32" w:name="_GoBack"/>
      <w:bookmarkEnd w:id="32"/>
    </w:p>
    <w:p>
      <w:pPr>
        <w:pStyle w:val="15"/>
        <w:spacing w:afterLines="0"/>
        <w:ind w:firstLine="480" w:firstLineChars="200"/>
        <w:rPr>
          <w:rFonts w:hint="eastAsia" w:ascii="宋体" w:hAnsi="宋体" w:cs="Times New Roman"/>
        </w:rPr>
      </w:pPr>
      <w:r>
        <w:rPr>
          <w:rFonts w:ascii="宋体" w:hAnsi="宋体" w:cs="Times New Roman"/>
        </w:rPr>
        <w:t>SLA 考核为差：约谈公司高管，提出服务质量保障具体措施并限期落实，暂停本次及以后各期款项支付，直至下次考核时服务质量达到中级以上，接续按以上标准执行。</w:t>
      </w:r>
    </w:p>
    <w:p>
      <w:pPr>
        <w:pStyle w:val="11"/>
        <w:adjustRightInd w:val="0"/>
        <w:spacing w:before="0" w:after="0" w:line="360" w:lineRule="auto"/>
        <w:ind w:firstLine="480" w:firstLineChars="200"/>
        <w:jc w:val="both"/>
        <w:textAlignment w:val="baseline"/>
        <w:rPr>
          <w:rFonts w:hint="eastAsia" w:ascii="宋体" w:hAnsi="宋体"/>
          <w:b w:val="0"/>
          <w:bCs w:val="0"/>
          <w:sz w:val="24"/>
          <w:szCs w:val="24"/>
        </w:rPr>
      </w:pPr>
      <w:bookmarkStart w:id="30" w:name="_Toc20402"/>
      <w:bookmarkStart w:id="31" w:name="_Toc10237"/>
      <w:r>
        <w:rPr>
          <w:rFonts w:ascii="宋体" w:hAnsi="宋体"/>
          <w:b w:val="0"/>
          <w:bCs w:val="0"/>
          <w:sz w:val="24"/>
          <w:szCs w:val="24"/>
        </w:rPr>
        <w:t>十一、投标资质要求</w:t>
      </w:r>
      <w:bookmarkEnd w:id="30"/>
      <w:bookmarkEnd w:id="31"/>
    </w:p>
    <w:p>
      <w:pPr>
        <w:pStyle w:val="15"/>
        <w:spacing w:afterLines="0"/>
        <w:ind w:firstLine="480" w:firstLineChars="200"/>
        <w:rPr>
          <w:rFonts w:hint="eastAsia" w:hAnsi="宋体" w:cs="Arial"/>
        </w:rPr>
      </w:pPr>
      <w:r>
        <w:rPr>
          <w:rFonts w:hint="eastAsia" w:ascii="宋体" w:hAnsi="宋体"/>
        </w:rPr>
        <w:t>供应商不在采购人失信供应商名单内。</w:t>
      </w:r>
    </w:p>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center"/>
      <w:rPr>
        <w:rFonts w:hint="eastAsia"/>
      </w:rP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jc w:val="left"/>
      <w:rPr>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98FAC6"/>
    <w:multiLevelType w:val="singleLevel"/>
    <w:tmpl w:val="9998FAC6"/>
    <w:lvl w:ilvl="0" w:tentative="0">
      <w:start w:val="2"/>
      <w:numFmt w:val="decimal"/>
      <w:suff w:val="space"/>
      <w:lvlText w:val="%1."/>
      <w:lvlJc w:val="left"/>
    </w:lvl>
  </w:abstractNum>
  <w:abstractNum w:abstractNumId="1">
    <w:nsid w:val="99AA3943"/>
    <w:multiLevelType w:val="singleLevel"/>
    <w:tmpl w:val="99AA3943"/>
    <w:lvl w:ilvl="0" w:tentative="0">
      <w:start w:val="1"/>
      <w:numFmt w:val="decimal"/>
      <w:suff w:val="space"/>
      <w:lvlText w:val="%1."/>
      <w:lvlJc w:val="left"/>
    </w:lvl>
  </w:abstractNum>
  <w:abstractNum w:abstractNumId="2">
    <w:nsid w:val="C127B91E"/>
    <w:multiLevelType w:val="singleLevel"/>
    <w:tmpl w:val="C127B91E"/>
    <w:lvl w:ilvl="0" w:tentative="0">
      <w:start w:val="1"/>
      <w:numFmt w:val="decimal"/>
      <w:suff w:val="space"/>
      <w:lvlText w:val="%1."/>
      <w:lvlJc w:val="left"/>
    </w:lvl>
  </w:abstractNum>
  <w:abstractNum w:abstractNumId="3">
    <w:nsid w:val="09170485"/>
    <w:multiLevelType w:val="singleLevel"/>
    <w:tmpl w:val="09170485"/>
    <w:lvl w:ilvl="0" w:tentative="0">
      <w:start w:val="1"/>
      <w:numFmt w:val="chineseCounting"/>
      <w:suff w:val="nothing"/>
      <w:lvlText w:val="（%1）"/>
      <w:lvlJc w:val="left"/>
      <w:pPr>
        <w:ind w:left="0" w:firstLine="420"/>
      </w:pPr>
      <w:rPr>
        <w:rFonts w:hint="eastAsia"/>
      </w:rPr>
    </w:lvl>
  </w:abstractNum>
  <w:abstractNum w:abstractNumId="4">
    <w:nsid w:val="33A96DBF"/>
    <w:multiLevelType w:val="singleLevel"/>
    <w:tmpl w:val="33A96DBF"/>
    <w:lvl w:ilvl="0" w:tentative="0">
      <w:start w:val="1"/>
      <w:numFmt w:val="chineseCounting"/>
      <w:suff w:val="nothing"/>
      <w:lvlText w:val="（%1）"/>
      <w:lvlJc w:val="left"/>
      <w:rPr>
        <w:rFonts w:hint="eastAsia"/>
      </w:rPr>
    </w:lvl>
  </w:abstractNum>
  <w:abstractNum w:abstractNumId="5">
    <w:nsid w:val="383471BB"/>
    <w:multiLevelType w:val="singleLevel"/>
    <w:tmpl w:val="383471BB"/>
    <w:lvl w:ilvl="0" w:tentative="0">
      <w:start w:val="2"/>
      <w:numFmt w:val="chineseCounting"/>
      <w:suff w:val="nothing"/>
      <w:lvlText w:val="（%1）"/>
      <w:lvlJc w:val="left"/>
      <w:rPr>
        <w:rFonts w:hint="eastAsia"/>
      </w:rPr>
    </w:lvl>
  </w:abstractNum>
  <w:abstractNum w:abstractNumId="6">
    <w:nsid w:val="3BFD39DF"/>
    <w:multiLevelType w:val="singleLevel"/>
    <w:tmpl w:val="3BFD39DF"/>
    <w:lvl w:ilvl="0" w:tentative="0">
      <w:start w:val="1"/>
      <w:numFmt w:val="decimal"/>
      <w:suff w:val="space"/>
      <w:lvlText w:val="%1."/>
      <w:lvlJc w:val="left"/>
    </w:lvl>
  </w:abstractNum>
  <w:abstractNum w:abstractNumId="7">
    <w:nsid w:val="3E823892"/>
    <w:multiLevelType w:val="singleLevel"/>
    <w:tmpl w:val="3E823892"/>
    <w:lvl w:ilvl="0" w:tentative="0">
      <w:start w:val="4"/>
      <w:numFmt w:val="chineseCounting"/>
      <w:suff w:val="nothing"/>
      <w:lvlText w:val="%1、"/>
      <w:lvlJc w:val="left"/>
      <w:rPr>
        <w:rFonts w:hint="eastAsia"/>
      </w:rPr>
    </w:lvl>
  </w:abstractNum>
  <w:abstractNum w:abstractNumId="8">
    <w:nsid w:val="44E9B878"/>
    <w:multiLevelType w:val="singleLevel"/>
    <w:tmpl w:val="44E9B878"/>
    <w:lvl w:ilvl="0" w:tentative="0">
      <w:start w:val="9"/>
      <w:numFmt w:val="chineseCounting"/>
      <w:suff w:val="nothing"/>
      <w:lvlText w:val="%1、"/>
      <w:lvlJc w:val="left"/>
      <w:rPr>
        <w:rFonts w:hint="eastAsia"/>
      </w:rPr>
    </w:lvl>
  </w:abstractNum>
  <w:abstractNum w:abstractNumId="9">
    <w:nsid w:val="475F3E30"/>
    <w:multiLevelType w:val="multilevel"/>
    <w:tmpl w:val="475F3E30"/>
    <w:lvl w:ilvl="0" w:tentative="0">
      <w:start w:val="1"/>
      <w:numFmt w:val="decimal"/>
      <w:lvlText w:val="%1."/>
      <w:lvlJc w:val="left"/>
      <w:pPr>
        <w:tabs>
          <w:tab w:val="left" w:pos="482"/>
        </w:tabs>
        <w:ind w:left="482" w:hanging="482"/>
      </w:pPr>
      <w:rPr>
        <w:rFonts w:hint="default" w:ascii="Arial" w:hAnsi="Arial" w:cs="Times New Roman"/>
        <w:b w:val="0"/>
        <w:i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FF166FF"/>
    <w:multiLevelType w:val="singleLevel"/>
    <w:tmpl w:val="4FF166FF"/>
    <w:lvl w:ilvl="0" w:tentative="0">
      <w:start w:val="1"/>
      <w:numFmt w:val="decimal"/>
      <w:suff w:val="nothing"/>
      <w:lvlText w:val="（%1）"/>
      <w:lvlJc w:val="left"/>
    </w:lvl>
  </w:abstractNum>
  <w:abstractNum w:abstractNumId="11">
    <w:nsid w:val="512792E7"/>
    <w:multiLevelType w:val="singleLevel"/>
    <w:tmpl w:val="512792E7"/>
    <w:lvl w:ilvl="0" w:tentative="0">
      <w:start w:val="2"/>
      <w:numFmt w:val="chineseCounting"/>
      <w:suff w:val="nothing"/>
      <w:lvlText w:val="（%1）"/>
      <w:lvlJc w:val="left"/>
      <w:rPr>
        <w:rFonts w:hint="eastAsia"/>
      </w:rPr>
    </w:lvl>
  </w:abstractNum>
  <w:abstractNum w:abstractNumId="12">
    <w:nsid w:val="70A470E6"/>
    <w:multiLevelType w:val="singleLevel"/>
    <w:tmpl w:val="70A470E6"/>
    <w:lvl w:ilvl="0" w:tentative="0">
      <w:start w:val="1"/>
      <w:numFmt w:val="decimal"/>
      <w:suff w:val="space"/>
      <w:lvlText w:val="%1."/>
      <w:lvlJc w:val="left"/>
    </w:lvl>
  </w:abstractNum>
  <w:abstractNum w:abstractNumId="13">
    <w:nsid w:val="78505C7F"/>
    <w:multiLevelType w:val="multilevel"/>
    <w:tmpl w:val="78505C7F"/>
    <w:lvl w:ilvl="0" w:tentative="0">
      <w:start w:val="1"/>
      <w:numFmt w:val="japaneseCounting"/>
      <w:lvlText w:val="%1、"/>
      <w:lvlJc w:val="left"/>
      <w:pPr>
        <w:tabs>
          <w:tab w:val="left" w:pos="1050"/>
        </w:tabs>
        <w:ind w:left="1050" w:hanging="720"/>
      </w:pPr>
    </w:lvl>
    <w:lvl w:ilvl="1" w:tentative="0">
      <w:start w:val="1"/>
      <w:numFmt w:val="decimal"/>
      <w:lvlText w:val="%2."/>
      <w:lvlJc w:val="left"/>
      <w:pPr>
        <w:tabs>
          <w:tab w:val="left" w:pos="482"/>
        </w:tabs>
        <w:ind w:left="482" w:hanging="482"/>
      </w:pPr>
      <w:rPr>
        <w:rFonts w:hint="default" w:ascii="Arial" w:hAnsi="Arial" w:cs="Times New Roman"/>
        <w:b w:val="0"/>
        <w:i w:val="0"/>
        <w:sz w:val="24"/>
        <w:szCs w:val="24"/>
      </w:rPr>
    </w:lvl>
    <w:lvl w:ilvl="2" w:tentative="0">
      <w:start w:val="1"/>
      <w:numFmt w:val="japaneseCounting"/>
      <w:lvlText w:val="（%3）"/>
      <w:lvlJc w:val="left"/>
      <w:pPr>
        <w:tabs>
          <w:tab w:val="left" w:pos="1890"/>
        </w:tabs>
        <w:ind w:left="1890" w:hanging="7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3"/>
  </w:num>
  <w:num w:numId="2">
    <w:abstractNumId w:val="9"/>
  </w:num>
  <w:num w:numId="3">
    <w:abstractNumId w:val="12"/>
  </w:num>
  <w:num w:numId="4">
    <w:abstractNumId w:val="7"/>
  </w:num>
  <w:num w:numId="5">
    <w:abstractNumId w:val="4"/>
  </w:num>
  <w:num w:numId="6">
    <w:abstractNumId w:val="6"/>
  </w:num>
  <w:num w:numId="7">
    <w:abstractNumId w:val="10"/>
  </w:num>
  <w:num w:numId="8">
    <w:abstractNumId w:val="0"/>
  </w:num>
  <w:num w:numId="9">
    <w:abstractNumId w:val="5"/>
  </w:num>
  <w:num w:numId="10">
    <w:abstractNumId w:val="8"/>
  </w:num>
  <w:num w:numId="11">
    <w:abstractNumId w:val="3"/>
  </w:num>
  <w:num w:numId="12">
    <w:abstractNumId w:val="11"/>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154581"/>
    <w:rsid w:val="0A154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3">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0"/>
    <w:pPr>
      <w:spacing w:after="120"/>
      <w:ind w:left="420" w:leftChars="200" w:firstLine="420" w:firstLineChars="200"/>
    </w:pPr>
    <w:rPr>
      <w:rFonts w:ascii="Calibri" w:hAnsi="Calibri"/>
      <w:sz w:val="24"/>
    </w:rPr>
  </w:style>
  <w:style w:type="paragraph" w:styleId="3">
    <w:name w:val="Body Text Indent"/>
    <w:basedOn w:val="1"/>
    <w:qFormat/>
    <w:uiPriority w:val="0"/>
    <w:pPr>
      <w:ind w:left="1260"/>
    </w:pPr>
    <w:rPr>
      <w:szCs w:val="24"/>
    </w:rPr>
  </w:style>
  <w:style w:type="paragraph" w:styleId="5">
    <w:name w:val="Normal Indent"/>
    <w:basedOn w:val="1"/>
    <w:qFormat/>
    <w:uiPriority w:val="99"/>
    <w:pPr>
      <w:spacing w:before="100" w:beforeAutospacing="1" w:after="100" w:afterAutospacing="1"/>
      <w:ind w:firstLine="200" w:firstLineChars="200"/>
    </w:pPr>
    <w:rPr>
      <w:szCs w:val="24"/>
    </w:rPr>
  </w:style>
  <w:style w:type="paragraph" w:styleId="6">
    <w:name w:val="caption"/>
    <w:basedOn w:val="1"/>
    <w:next w:val="1"/>
    <w:qFormat/>
    <w:uiPriority w:val="0"/>
    <w:pPr>
      <w:spacing w:before="152" w:after="160"/>
    </w:pPr>
    <w:rPr>
      <w:rFonts w:ascii="Arial" w:hAnsi="Arial" w:eastAsia="黑体"/>
      <w:sz w:val="20"/>
      <w:szCs w:val="20"/>
    </w:rPr>
  </w:style>
  <w:style w:type="paragraph" w:styleId="7">
    <w:name w:val="annotation text"/>
    <w:basedOn w:val="1"/>
    <w:qFormat/>
    <w:uiPriority w:val="0"/>
    <w:pPr>
      <w:jc w:val="left"/>
    </w:pPr>
  </w:style>
  <w:style w:type="paragraph" w:styleId="8">
    <w:name w:val="Body Text"/>
    <w:basedOn w:val="1"/>
    <w:uiPriority w:val="0"/>
    <w:pPr>
      <w:spacing w:after="12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1">
    <w:name w:val="Title"/>
    <w:basedOn w:val="1"/>
    <w:next w:val="1"/>
    <w:qFormat/>
    <w:uiPriority w:val="0"/>
    <w:pPr>
      <w:widowControl/>
      <w:spacing w:before="240" w:after="60" w:line="240" w:lineRule="exact"/>
      <w:jc w:val="center"/>
      <w:outlineLvl w:val="0"/>
    </w:pPr>
    <w:rPr>
      <w:rFonts w:ascii="Cambria" w:hAnsi="Cambria" w:cs="Times New Roman"/>
      <w:b/>
      <w:bCs/>
      <w:kern w:val="0"/>
      <w:sz w:val="32"/>
      <w:szCs w:val="32"/>
    </w:rPr>
  </w:style>
  <w:style w:type="character" w:styleId="14">
    <w:name w:val="annotation reference"/>
    <w:qFormat/>
    <w:uiPriority w:val="0"/>
    <w:rPr>
      <w:sz w:val="21"/>
      <w:szCs w:val="21"/>
    </w:rPr>
  </w:style>
  <w:style w:type="paragraph" w:customStyle="1" w:styleId="15">
    <w:name w:val="* Body1"/>
    <w:basedOn w:val="1"/>
    <w:qFormat/>
    <w:uiPriority w:val="0"/>
    <w:pPr>
      <w:spacing w:afterLines="50" w:line="360" w:lineRule="auto"/>
    </w:pPr>
    <w:rPr>
      <w:rFonts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Office_12.8.0.16987_F1E327BC-269C-435d-A152-05C5408002CA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2025-07-28T02:57:00Z</dcterms:created>
  <dc:creator>zh-huangj02</dc:creator>
  <cp:lastModifiedBy>zh-huangj02</cp:lastModifiedBy>
  <dcterms:modified xsi:type="dcterms:W3CDTF">2025-07-28T02:58:35Z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2052-12.8.0.16987</vt:lpwstr>
  </property>
  <property fmtid="{D5CDD505-2E9C-101B-9397-08002B2CF9AE}" pid="3" name="ICV">
    <vt:lpwstr>F1604121BD9A4E74B0CA26A42FF26362_11</vt:lpwstr>
  </property>
</Properties>
</file>