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AD7A">
      <w:pPr>
        <w:keepNext/>
        <w:keepLines/>
        <w:adjustRightInd w:val="0"/>
        <w:spacing w:line="360" w:lineRule="auto"/>
        <w:ind w:firstLine="482" w:firstLineChars="200"/>
        <w:textAlignment w:val="baseline"/>
        <w:outlineLvl w:val="0"/>
        <w:rPr>
          <w:rFonts w:hint="eastAsia" w:ascii="宋体" w:hAnsi="宋体"/>
          <w:b/>
          <w:bCs/>
          <w:sz w:val="24"/>
        </w:rPr>
      </w:pPr>
      <w:bookmarkStart w:id="0" w:name="_Toc9572"/>
      <w:bookmarkStart w:id="41" w:name="_GoBack"/>
      <w:bookmarkEnd w:id="41"/>
      <w:r>
        <w:rPr>
          <w:rFonts w:ascii="宋体" w:hAnsi="宋体"/>
          <w:b/>
          <w:bCs/>
          <w:sz w:val="24"/>
        </w:rPr>
        <w:t>一、项目介绍</w:t>
      </w:r>
      <w:bookmarkEnd w:id="0"/>
    </w:p>
    <w:p w14:paraId="77A810E3">
      <w:pPr>
        <w:adjustRightInd w:val="0"/>
        <w:spacing w:line="360" w:lineRule="auto"/>
        <w:ind w:firstLine="480" w:firstLineChars="200"/>
        <w:textAlignment w:val="baseline"/>
        <w:rPr>
          <w:rFonts w:hint="eastAsia" w:ascii="宋体" w:hAnsi="宋体"/>
          <w:sz w:val="24"/>
        </w:rPr>
      </w:pPr>
      <w:bookmarkStart w:id="1" w:name="_Toc20375"/>
      <w:bookmarkStart w:id="2" w:name="_Toc14418"/>
      <w:r>
        <w:rPr>
          <w:rFonts w:hint="eastAsia" w:ascii="宋体" w:hAnsi="宋体" w:cs="仿宋_GB2312"/>
          <w:sz w:val="24"/>
        </w:rPr>
        <w:t>为落实监管整改、监管评级以及监管报送质量等要求，</w:t>
      </w:r>
      <w:bookmarkEnd w:id="1"/>
      <w:bookmarkStart w:id="3" w:name="_Toc16185"/>
      <w:r>
        <w:rPr>
          <w:rFonts w:hint="eastAsia" w:ascii="宋体" w:hAnsi="宋体"/>
          <w:sz w:val="24"/>
        </w:rPr>
        <w:t>2026年6月30日前完成相关系统功能改造并投产上线，重保期为3个月，投产验收通过后提供1年的免费运维服务</w:t>
      </w:r>
      <w:r>
        <w:rPr>
          <w:rFonts w:hint="eastAsia" w:ascii="宋体" w:hAnsi="宋体" w:cs="仿宋_GB2312"/>
          <w:color w:val="000000"/>
          <w:sz w:val="24"/>
        </w:rPr>
        <w:t>。</w:t>
      </w:r>
    </w:p>
    <w:bookmarkEnd w:id="2"/>
    <w:p w14:paraId="059CC024">
      <w:pPr>
        <w:keepNext/>
        <w:keepLines/>
        <w:numPr>
          <w:ilvl w:val="0"/>
          <w:numId w:val="1"/>
        </w:numPr>
        <w:adjustRightInd w:val="0"/>
        <w:spacing w:line="360" w:lineRule="auto"/>
        <w:ind w:firstLine="482" w:firstLineChars="200"/>
        <w:textAlignment w:val="baseline"/>
        <w:outlineLvl w:val="0"/>
        <w:rPr>
          <w:rFonts w:hint="eastAsia" w:ascii="宋体" w:hAnsi="宋体"/>
          <w:b/>
          <w:bCs/>
          <w:sz w:val="24"/>
        </w:rPr>
      </w:pPr>
      <w:bookmarkStart w:id="4" w:name="_Toc16771"/>
      <w:r>
        <w:rPr>
          <w:rFonts w:ascii="宋体" w:hAnsi="宋体"/>
          <w:b/>
          <w:bCs/>
          <w:sz w:val="24"/>
        </w:rPr>
        <w:t>服务一览表</w:t>
      </w:r>
      <w:bookmarkEnd w:id="3"/>
      <w:bookmarkEnd w:id="4"/>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54"/>
        <w:gridCol w:w="6603"/>
      </w:tblGrid>
      <w:tr w14:paraId="2CF4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7" w:type="dxa"/>
            <w:vMerge w:val="restart"/>
            <w:tcBorders>
              <w:top w:val="single" w:color="auto" w:sz="4" w:space="0"/>
              <w:left w:val="single" w:color="auto" w:sz="4" w:space="0"/>
              <w:right w:val="single" w:color="auto" w:sz="4" w:space="0"/>
            </w:tcBorders>
            <w:vAlign w:val="center"/>
          </w:tcPr>
          <w:p w14:paraId="6983D94D">
            <w:pPr>
              <w:jc w:val="center"/>
              <w:rPr>
                <w:rFonts w:hint="eastAsia" w:ascii="宋体" w:hAnsi="宋体" w:cs="黑体"/>
                <w:b/>
                <w:bCs/>
                <w:sz w:val="24"/>
              </w:rPr>
            </w:pPr>
            <w:r>
              <w:rPr>
                <w:rFonts w:hint="eastAsia" w:ascii="宋体" w:hAnsi="宋体" w:cs="黑体"/>
                <w:b/>
                <w:bCs/>
                <w:sz w:val="24"/>
              </w:rPr>
              <w:t>序号</w:t>
            </w:r>
          </w:p>
        </w:tc>
        <w:tc>
          <w:tcPr>
            <w:tcW w:w="1354" w:type="dxa"/>
            <w:vMerge w:val="restart"/>
            <w:tcBorders>
              <w:top w:val="single" w:color="auto" w:sz="4" w:space="0"/>
              <w:left w:val="single" w:color="auto" w:sz="4" w:space="0"/>
              <w:right w:val="single" w:color="auto" w:sz="4" w:space="0"/>
            </w:tcBorders>
            <w:vAlign w:val="center"/>
          </w:tcPr>
          <w:p w14:paraId="02344FF8">
            <w:pPr>
              <w:jc w:val="center"/>
              <w:rPr>
                <w:rFonts w:hint="eastAsia" w:ascii="宋体" w:hAnsi="宋体" w:cs="黑体"/>
                <w:b/>
                <w:bCs/>
                <w:sz w:val="24"/>
              </w:rPr>
            </w:pPr>
            <w:r>
              <w:rPr>
                <w:rFonts w:hint="eastAsia" w:ascii="宋体" w:hAnsi="宋体" w:cs="黑体"/>
                <w:b/>
                <w:bCs/>
                <w:sz w:val="24"/>
              </w:rPr>
              <w:t>服务内容</w:t>
            </w:r>
          </w:p>
        </w:tc>
        <w:tc>
          <w:tcPr>
            <w:tcW w:w="6603" w:type="dxa"/>
            <w:vMerge w:val="restart"/>
            <w:tcBorders>
              <w:top w:val="single" w:color="auto" w:sz="4" w:space="0"/>
              <w:left w:val="single" w:color="auto" w:sz="4" w:space="0"/>
              <w:right w:val="single" w:color="auto" w:sz="4" w:space="0"/>
            </w:tcBorders>
            <w:vAlign w:val="center"/>
          </w:tcPr>
          <w:p w14:paraId="2BEC8D46">
            <w:pPr>
              <w:jc w:val="center"/>
              <w:rPr>
                <w:rFonts w:hint="eastAsia" w:ascii="宋体" w:hAnsi="宋体" w:cs="黑体"/>
                <w:b/>
                <w:bCs/>
                <w:sz w:val="24"/>
              </w:rPr>
            </w:pPr>
            <w:r>
              <w:rPr>
                <w:rFonts w:ascii="宋体" w:hAnsi="宋体" w:cs="黑体"/>
                <w:b/>
                <w:bCs/>
                <w:sz w:val="24"/>
              </w:rPr>
              <w:t>主要</w:t>
            </w:r>
            <w:r>
              <w:rPr>
                <w:rFonts w:hint="eastAsia" w:ascii="宋体" w:hAnsi="宋体" w:cs="黑体"/>
                <w:b/>
                <w:bCs/>
                <w:sz w:val="24"/>
              </w:rPr>
              <w:t>工作</w:t>
            </w:r>
          </w:p>
        </w:tc>
      </w:tr>
      <w:tr w14:paraId="19B5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7" w:type="dxa"/>
            <w:vMerge w:val="continue"/>
            <w:tcBorders>
              <w:left w:val="single" w:color="auto" w:sz="4" w:space="0"/>
              <w:bottom w:val="single" w:color="auto" w:sz="4" w:space="0"/>
              <w:right w:val="single" w:color="auto" w:sz="4" w:space="0"/>
            </w:tcBorders>
          </w:tcPr>
          <w:p w14:paraId="3C21BD52">
            <w:pPr>
              <w:jc w:val="center"/>
              <w:rPr>
                <w:rFonts w:hint="eastAsia" w:ascii="宋体" w:hAnsi="宋体"/>
                <w:sz w:val="24"/>
              </w:rPr>
            </w:pPr>
          </w:p>
        </w:tc>
        <w:tc>
          <w:tcPr>
            <w:tcW w:w="1354" w:type="dxa"/>
            <w:vMerge w:val="continue"/>
            <w:tcBorders>
              <w:left w:val="single" w:color="auto" w:sz="4" w:space="0"/>
              <w:bottom w:val="single" w:color="auto" w:sz="4" w:space="0"/>
              <w:right w:val="single" w:color="auto" w:sz="4" w:space="0"/>
            </w:tcBorders>
          </w:tcPr>
          <w:p w14:paraId="7568CDD3">
            <w:pPr>
              <w:jc w:val="center"/>
              <w:rPr>
                <w:rFonts w:hint="eastAsia" w:ascii="宋体" w:hAnsi="宋体"/>
                <w:sz w:val="24"/>
              </w:rPr>
            </w:pPr>
          </w:p>
        </w:tc>
        <w:tc>
          <w:tcPr>
            <w:tcW w:w="6603" w:type="dxa"/>
            <w:vMerge w:val="continue"/>
            <w:tcBorders>
              <w:left w:val="single" w:color="auto" w:sz="4" w:space="0"/>
              <w:bottom w:val="single" w:color="auto" w:sz="4" w:space="0"/>
              <w:right w:val="single" w:color="auto" w:sz="4" w:space="0"/>
            </w:tcBorders>
          </w:tcPr>
          <w:p w14:paraId="50AD0C17">
            <w:pPr>
              <w:jc w:val="center"/>
              <w:rPr>
                <w:rFonts w:hint="eastAsia" w:ascii="宋体" w:hAnsi="宋体"/>
                <w:sz w:val="24"/>
              </w:rPr>
            </w:pPr>
          </w:p>
        </w:tc>
      </w:tr>
      <w:tr w14:paraId="2384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817" w:type="dxa"/>
            <w:tcBorders>
              <w:top w:val="single" w:color="auto" w:sz="4" w:space="0"/>
              <w:left w:val="single" w:color="auto" w:sz="4" w:space="0"/>
              <w:right w:val="single" w:color="auto" w:sz="4" w:space="0"/>
            </w:tcBorders>
            <w:vAlign w:val="center"/>
          </w:tcPr>
          <w:p w14:paraId="6A94C5BA">
            <w:pPr>
              <w:numPr>
                <w:ilvl w:val="0"/>
                <w:numId w:val="2"/>
              </w:numPr>
              <w:ind w:left="0" w:firstLine="0"/>
              <w:jc w:val="center"/>
              <w:rPr>
                <w:rFonts w:hint="eastAsia" w:ascii="宋体" w:hAnsi="宋体"/>
                <w:sz w:val="24"/>
              </w:rPr>
            </w:pPr>
          </w:p>
        </w:tc>
        <w:tc>
          <w:tcPr>
            <w:tcW w:w="1354" w:type="dxa"/>
            <w:tcBorders>
              <w:top w:val="single" w:color="auto" w:sz="4" w:space="0"/>
              <w:left w:val="single" w:color="auto" w:sz="4" w:space="0"/>
              <w:right w:val="single" w:color="auto" w:sz="4" w:space="0"/>
            </w:tcBorders>
            <w:vAlign w:val="center"/>
          </w:tcPr>
          <w:p w14:paraId="68726ED3">
            <w:pPr>
              <w:widowControl/>
              <w:jc w:val="center"/>
              <w:rPr>
                <w:rFonts w:hint="eastAsia" w:ascii="宋体" w:hAnsi="宋体" w:cs="仿宋_GB2312"/>
                <w:sz w:val="24"/>
              </w:rPr>
            </w:pPr>
            <w:r>
              <w:rPr>
                <w:rFonts w:hint="eastAsia" w:ascii="宋体" w:hAnsi="宋体" w:cs="仿宋_GB2312"/>
                <w:sz w:val="24"/>
              </w:rPr>
              <w:t>项目管理</w:t>
            </w:r>
          </w:p>
        </w:tc>
        <w:tc>
          <w:tcPr>
            <w:tcW w:w="6603" w:type="dxa"/>
            <w:tcBorders>
              <w:top w:val="single" w:color="auto" w:sz="4" w:space="0"/>
              <w:left w:val="single" w:color="auto" w:sz="4" w:space="0"/>
              <w:right w:val="single" w:color="auto" w:sz="4" w:space="0"/>
            </w:tcBorders>
            <w:vAlign w:val="center"/>
          </w:tcPr>
          <w:p w14:paraId="091270F8">
            <w:pPr>
              <w:widowControl/>
              <w:rPr>
                <w:rFonts w:hint="eastAsia" w:ascii="宋体" w:hAnsi="宋体" w:cs="仿宋_GB2312"/>
                <w:sz w:val="24"/>
              </w:rPr>
            </w:pPr>
            <w:r>
              <w:rPr>
                <w:rFonts w:hint="eastAsia" w:ascii="宋体" w:hAnsi="宋体"/>
                <w:sz w:val="24"/>
              </w:rPr>
              <w:t>配合采购人开展以下工作：</w:t>
            </w:r>
            <w:r>
              <w:rPr>
                <w:rFonts w:ascii="宋体" w:hAnsi="宋体"/>
                <w:sz w:val="24"/>
              </w:rPr>
              <w:t>制定项目计划，监督和控制项目进度</w:t>
            </w:r>
            <w:r>
              <w:rPr>
                <w:rFonts w:hint="eastAsia" w:ascii="宋体" w:hAnsi="宋体"/>
                <w:sz w:val="24"/>
              </w:rPr>
              <w:t>；</w:t>
            </w:r>
            <w:r>
              <w:rPr>
                <w:rFonts w:ascii="宋体" w:hAnsi="宋体"/>
                <w:sz w:val="24"/>
              </w:rPr>
              <w:t>负责管理安排项目资源</w:t>
            </w:r>
            <w:r>
              <w:rPr>
                <w:rFonts w:hint="eastAsia" w:ascii="宋体" w:hAnsi="宋体"/>
                <w:sz w:val="24"/>
              </w:rPr>
              <w:t>；开展</w:t>
            </w:r>
            <w:r>
              <w:rPr>
                <w:rFonts w:ascii="宋体" w:hAnsi="宋体"/>
                <w:sz w:val="24"/>
              </w:rPr>
              <w:t>实施项目配置和交付管理以及项目质量管理</w:t>
            </w:r>
            <w:r>
              <w:rPr>
                <w:rFonts w:hint="eastAsia" w:ascii="宋体" w:hAnsi="宋体"/>
                <w:sz w:val="24"/>
              </w:rPr>
              <w:t>；开展</w:t>
            </w:r>
            <w:r>
              <w:rPr>
                <w:rFonts w:ascii="宋体" w:hAnsi="宋体"/>
                <w:sz w:val="24"/>
              </w:rPr>
              <w:t>项目问题管理和项目风险管理</w:t>
            </w:r>
            <w:r>
              <w:rPr>
                <w:rFonts w:hint="eastAsia" w:ascii="宋体" w:hAnsi="宋体"/>
                <w:sz w:val="24"/>
              </w:rPr>
              <w:t>；</w:t>
            </w:r>
            <w:r>
              <w:rPr>
                <w:rFonts w:ascii="宋体" w:hAnsi="宋体"/>
                <w:sz w:val="24"/>
              </w:rPr>
              <w:t>按照要求</w:t>
            </w:r>
            <w:r>
              <w:rPr>
                <w:rFonts w:hint="eastAsia" w:ascii="宋体" w:hAnsi="宋体"/>
                <w:sz w:val="24"/>
              </w:rPr>
              <w:t>定期</w:t>
            </w:r>
            <w:r>
              <w:rPr>
                <w:rFonts w:ascii="宋体" w:hAnsi="宋体"/>
                <w:sz w:val="24"/>
              </w:rPr>
              <w:t>进行工作报告</w:t>
            </w:r>
            <w:r>
              <w:rPr>
                <w:rFonts w:hint="eastAsia" w:ascii="宋体" w:hAnsi="宋体"/>
                <w:sz w:val="24"/>
              </w:rPr>
              <w:t>等</w:t>
            </w:r>
          </w:p>
        </w:tc>
      </w:tr>
      <w:tr w14:paraId="3963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7" w:type="dxa"/>
            <w:tcBorders>
              <w:left w:val="single" w:color="auto" w:sz="4" w:space="0"/>
              <w:bottom w:val="single" w:color="auto" w:sz="4" w:space="0"/>
              <w:right w:val="single" w:color="auto" w:sz="4" w:space="0"/>
            </w:tcBorders>
            <w:vAlign w:val="center"/>
          </w:tcPr>
          <w:p w14:paraId="2DF5FA32">
            <w:pPr>
              <w:numPr>
                <w:ilvl w:val="0"/>
                <w:numId w:val="2"/>
              </w:numPr>
              <w:ind w:left="0" w:firstLine="0"/>
              <w:jc w:val="center"/>
              <w:rPr>
                <w:rFonts w:hint="eastAsia" w:ascii="宋体" w:hAnsi="宋体"/>
                <w:sz w:val="24"/>
              </w:rPr>
            </w:pPr>
          </w:p>
        </w:tc>
        <w:tc>
          <w:tcPr>
            <w:tcW w:w="1354" w:type="dxa"/>
            <w:tcBorders>
              <w:left w:val="single" w:color="auto" w:sz="4" w:space="0"/>
              <w:bottom w:val="single" w:color="auto" w:sz="4" w:space="0"/>
              <w:right w:val="single" w:color="auto" w:sz="4" w:space="0"/>
            </w:tcBorders>
            <w:vAlign w:val="center"/>
          </w:tcPr>
          <w:p w14:paraId="508C2AC0">
            <w:pPr>
              <w:widowControl/>
              <w:jc w:val="center"/>
              <w:rPr>
                <w:rFonts w:hint="eastAsia" w:ascii="宋体" w:hAnsi="宋体" w:cs="仿宋_GB2312"/>
                <w:sz w:val="24"/>
              </w:rPr>
            </w:pPr>
            <w:r>
              <w:rPr>
                <w:rFonts w:hint="eastAsia" w:ascii="宋体" w:hAnsi="宋体" w:cs="仿宋_GB2312"/>
                <w:sz w:val="24"/>
              </w:rPr>
              <w:t>需求分析</w:t>
            </w:r>
          </w:p>
        </w:tc>
        <w:tc>
          <w:tcPr>
            <w:tcW w:w="6603" w:type="dxa"/>
            <w:tcBorders>
              <w:left w:val="single" w:color="auto" w:sz="4" w:space="0"/>
              <w:bottom w:val="single" w:color="auto" w:sz="4" w:space="0"/>
              <w:right w:val="single" w:color="auto" w:sz="4" w:space="0"/>
            </w:tcBorders>
            <w:vAlign w:val="center"/>
          </w:tcPr>
          <w:p w14:paraId="2C50F8BE">
            <w:pPr>
              <w:widowControl/>
              <w:rPr>
                <w:rFonts w:hint="eastAsia" w:ascii="宋体" w:hAnsi="宋体" w:cs="仿宋_GB2312"/>
                <w:sz w:val="24"/>
              </w:rPr>
            </w:pPr>
            <w:r>
              <w:rPr>
                <w:rFonts w:ascii="宋体" w:hAnsi="宋体" w:cs="仿宋_GB2312"/>
                <w:sz w:val="24"/>
              </w:rPr>
              <w:t>根据</w:t>
            </w:r>
            <w:r>
              <w:rPr>
                <w:rFonts w:hint="eastAsia" w:ascii="宋体" w:hAnsi="宋体" w:cs="仿宋_GB2312"/>
                <w:sz w:val="24"/>
              </w:rPr>
              <w:t>业务要求，梳理转化为业务对系统功能性和非功能性等具体要求，形成需求规格说明书</w:t>
            </w:r>
          </w:p>
        </w:tc>
      </w:tr>
      <w:tr w14:paraId="58F8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7" w:type="dxa"/>
            <w:tcBorders>
              <w:left w:val="single" w:color="auto" w:sz="4" w:space="0"/>
              <w:bottom w:val="single" w:color="auto" w:sz="4" w:space="0"/>
              <w:right w:val="single" w:color="auto" w:sz="4" w:space="0"/>
            </w:tcBorders>
            <w:vAlign w:val="center"/>
          </w:tcPr>
          <w:p w14:paraId="3588F7A6">
            <w:pPr>
              <w:numPr>
                <w:ilvl w:val="0"/>
                <w:numId w:val="2"/>
              </w:numPr>
              <w:ind w:left="0" w:firstLine="0"/>
              <w:jc w:val="center"/>
              <w:rPr>
                <w:rFonts w:hint="eastAsia" w:ascii="宋体" w:hAnsi="宋体"/>
                <w:sz w:val="24"/>
              </w:rPr>
            </w:pPr>
          </w:p>
        </w:tc>
        <w:tc>
          <w:tcPr>
            <w:tcW w:w="1354" w:type="dxa"/>
            <w:tcBorders>
              <w:left w:val="single" w:color="auto" w:sz="4" w:space="0"/>
              <w:bottom w:val="single" w:color="auto" w:sz="4" w:space="0"/>
              <w:right w:val="single" w:color="auto" w:sz="4" w:space="0"/>
            </w:tcBorders>
            <w:vAlign w:val="center"/>
          </w:tcPr>
          <w:p w14:paraId="62916A34">
            <w:pPr>
              <w:widowControl/>
              <w:jc w:val="center"/>
              <w:rPr>
                <w:rFonts w:hint="eastAsia" w:ascii="宋体" w:hAnsi="宋体" w:cs="仿宋_GB2312"/>
                <w:sz w:val="24"/>
              </w:rPr>
            </w:pPr>
            <w:r>
              <w:rPr>
                <w:rFonts w:ascii="宋体" w:hAnsi="宋体" w:cs="仿宋_GB2312"/>
                <w:sz w:val="24"/>
              </w:rPr>
              <w:t>设</w:t>
            </w:r>
            <w:r>
              <w:rPr>
                <w:rFonts w:hint="eastAsia" w:ascii="宋体" w:hAnsi="宋体" w:cs="仿宋_GB2312"/>
                <w:sz w:val="24"/>
              </w:rPr>
              <w:t xml:space="preserve">  </w:t>
            </w:r>
            <w:r>
              <w:rPr>
                <w:rFonts w:ascii="宋体" w:hAnsi="宋体" w:cs="仿宋_GB2312"/>
                <w:sz w:val="24"/>
              </w:rPr>
              <w:t>计</w:t>
            </w:r>
          </w:p>
        </w:tc>
        <w:tc>
          <w:tcPr>
            <w:tcW w:w="6603" w:type="dxa"/>
            <w:tcBorders>
              <w:left w:val="single" w:color="auto" w:sz="4" w:space="0"/>
              <w:bottom w:val="single" w:color="auto" w:sz="4" w:space="0"/>
              <w:right w:val="single" w:color="auto" w:sz="4" w:space="0"/>
            </w:tcBorders>
            <w:vAlign w:val="center"/>
          </w:tcPr>
          <w:p w14:paraId="7FA430FE">
            <w:pPr>
              <w:widowControl/>
              <w:rPr>
                <w:rFonts w:hint="eastAsia" w:ascii="宋体" w:hAnsi="宋体" w:cs="仿宋_GB2312"/>
                <w:sz w:val="24"/>
              </w:rPr>
            </w:pPr>
            <w:r>
              <w:rPr>
                <w:rFonts w:ascii="宋体" w:hAnsi="宋体" w:cs="仿宋_GB2312"/>
                <w:sz w:val="24"/>
              </w:rPr>
              <w:t>完成</w:t>
            </w:r>
            <w:r>
              <w:rPr>
                <w:rFonts w:hint="eastAsia" w:ascii="宋体" w:hAnsi="宋体" w:cs="仿宋_GB2312"/>
                <w:sz w:val="24"/>
              </w:rPr>
              <w:t>相关</w:t>
            </w:r>
            <w:r>
              <w:rPr>
                <w:rFonts w:ascii="宋体" w:hAnsi="宋体" w:cs="仿宋_GB2312"/>
                <w:sz w:val="24"/>
              </w:rPr>
              <w:t>物理子系统的概要设计、详细设计等相关工作，形成相应</w:t>
            </w:r>
            <w:r>
              <w:rPr>
                <w:rFonts w:hint="eastAsia" w:ascii="宋体" w:hAnsi="宋体" w:cs="仿宋_GB2312"/>
                <w:sz w:val="24"/>
              </w:rPr>
              <w:t>设计</w:t>
            </w:r>
            <w:r>
              <w:rPr>
                <w:rFonts w:ascii="宋体" w:hAnsi="宋体" w:cs="仿宋_GB2312"/>
                <w:sz w:val="24"/>
              </w:rPr>
              <w:t>说明书</w:t>
            </w:r>
          </w:p>
        </w:tc>
      </w:tr>
      <w:tr w14:paraId="24E5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7" w:type="dxa"/>
            <w:tcBorders>
              <w:top w:val="single" w:color="auto" w:sz="4" w:space="0"/>
              <w:left w:val="single" w:color="auto" w:sz="4" w:space="0"/>
              <w:right w:val="single" w:color="auto" w:sz="4" w:space="0"/>
            </w:tcBorders>
            <w:vAlign w:val="center"/>
          </w:tcPr>
          <w:p w14:paraId="4E82AFCB">
            <w:pPr>
              <w:numPr>
                <w:ilvl w:val="0"/>
                <w:numId w:val="2"/>
              </w:numPr>
              <w:ind w:left="0" w:firstLine="0"/>
              <w:jc w:val="center"/>
              <w:rPr>
                <w:rFonts w:hint="eastAsia" w:ascii="宋体" w:hAnsi="宋体"/>
                <w:sz w:val="24"/>
              </w:rPr>
            </w:pPr>
          </w:p>
        </w:tc>
        <w:tc>
          <w:tcPr>
            <w:tcW w:w="1354" w:type="dxa"/>
            <w:tcBorders>
              <w:top w:val="single" w:color="auto" w:sz="4" w:space="0"/>
              <w:left w:val="single" w:color="auto" w:sz="4" w:space="0"/>
              <w:right w:val="single" w:color="auto" w:sz="4" w:space="0"/>
            </w:tcBorders>
            <w:vAlign w:val="center"/>
          </w:tcPr>
          <w:p w14:paraId="069EE0E8">
            <w:pPr>
              <w:widowControl/>
              <w:jc w:val="center"/>
              <w:rPr>
                <w:rFonts w:hint="eastAsia" w:ascii="宋体" w:hAnsi="宋体" w:cs="仿宋_GB2312"/>
                <w:sz w:val="24"/>
              </w:rPr>
            </w:pPr>
            <w:r>
              <w:rPr>
                <w:rFonts w:hint="eastAsia" w:ascii="宋体" w:hAnsi="宋体" w:cs="仿宋_GB2312"/>
                <w:sz w:val="24"/>
              </w:rPr>
              <w:t>开  发</w:t>
            </w:r>
          </w:p>
        </w:tc>
        <w:tc>
          <w:tcPr>
            <w:tcW w:w="6603" w:type="dxa"/>
            <w:tcBorders>
              <w:top w:val="single" w:color="auto" w:sz="4" w:space="0"/>
              <w:left w:val="single" w:color="auto" w:sz="4" w:space="0"/>
              <w:right w:val="single" w:color="auto" w:sz="4" w:space="0"/>
            </w:tcBorders>
            <w:vAlign w:val="center"/>
          </w:tcPr>
          <w:p w14:paraId="1826D5D0">
            <w:pPr>
              <w:widowControl/>
              <w:rPr>
                <w:rFonts w:hint="eastAsia" w:ascii="宋体" w:hAnsi="宋体" w:cs="仿宋_GB2312"/>
                <w:sz w:val="24"/>
              </w:rPr>
            </w:pPr>
            <w:r>
              <w:rPr>
                <w:rFonts w:hint="eastAsia" w:ascii="宋体" w:hAnsi="宋体" w:cs="仿宋_GB2312"/>
                <w:sz w:val="24"/>
              </w:rPr>
              <w:t>根据功能设计按计划完成开发，实现设计功能</w:t>
            </w:r>
            <w:r>
              <w:rPr>
                <w:rFonts w:ascii="宋体" w:hAnsi="宋体" w:cs="仿宋_GB2312"/>
                <w:sz w:val="24"/>
              </w:rPr>
              <w:t>，</w:t>
            </w:r>
            <w:r>
              <w:rPr>
                <w:rFonts w:hint="eastAsia" w:ascii="宋体" w:hAnsi="宋体" w:cs="仿宋_GB2312"/>
                <w:sz w:val="24"/>
              </w:rPr>
              <w:t>完成单元测试等工作</w:t>
            </w:r>
          </w:p>
        </w:tc>
      </w:tr>
      <w:tr w14:paraId="4D3D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7" w:type="dxa"/>
            <w:tcBorders>
              <w:top w:val="single" w:color="auto" w:sz="4" w:space="0"/>
              <w:left w:val="single" w:color="auto" w:sz="4" w:space="0"/>
              <w:right w:val="single" w:color="auto" w:sz="4" w:space="0"/>
            </w:tcBorders>
            <w:vAlign w:val="center"/>
          </w:tcPr>
          <w:p w14:paraId="0A356D0A">
            <w:pPr>
              <w:numPr>
                <w:ilvl w:val="0"/>
                <w:numId w:val="2"/>
              </w:numPr>
              <w:ind w:left="0" w:firstLine="0"/>
              <w:jc w:val="center"/>
              <w:rPr>
                <w:rFonts w:hint="eastAsia" w:ascii="宋体" w:hAnsi="宋体"/>
                <w:sz w:val="24"/>
              </w:rPr>
            </w:pPr>
          </w:p>
        </w:tc>
        <w:tc>
          <w:tcPr>
            <w:tcW w:w="1354" w:type="dxa"/>
            <w:tcBorders>
              <w:top w:val="single" w:color="auto" w:sz="4" w:space="0"/>
              <w:left w:val="single" w:color="auto" w:sz="4" w:space="0"/>
              <w:right w:val="single" w:color="auto" w:sz="4" w:space="0"/>
            </w:tcBorders>
            <w:vAlign w:val="center"/>
          </w:tcPr>
          <w:p w14:paraId="3EA4DD1E">
            <w:pPr>
              <w:widowControl/>
              <w:jc w:val="center"/>
              <w:rPr>
                <w:rFonts w:hint="eastAsia" w:ascii="宋体" w:hAnsi="宋体" w:cs="仿宋_GB2312"/>
                <w:sz w:val="24"/>
              </w:rPr>
            </w:pPr>
            <w:r>
              <w:rPr>
                <w:rFonts w:hint="eastAsia" w:ascii="宋体" w:hAnsi="宋体" w:cs="仿宋_GB2312"/>
                <w:sz w:val="24"/>
              </w:rPr>
              <w:t>测  试</w:t>
            </w:r>
          </w:p>
        </w:tc>
        <w:tc>
          <w:tcPr>
            <w:tcW w:w="6603" w:type="dxa"/>
            <w:tcBorders>
              <w:top w:val="single" w:color="auto" w:sz="4" w:space="0"/>
              <w:left w:val="single" w:color="auto" w:sz="4" w:space="0"/>
              <w:right w:val="single" w:color="auto" w:sz="4" w:space="0"/>
            </w:tcBorders>
            <w:vAlign w:val="center"/>
          </w:tcPr>
          <w:p w14:paraId="55C3A27C">
            <w:pPr>
              <w:widowControl/>
              <w:rPr>
                <w:rFonts w:hint="eastAsia" w:ascii="宋体" w:hAnsi="宋体" w:cs="仿宋_GB2312"/>
                <w:sz w:val="24"/>
              </w:rPr>
            </w:pPr>
            <w:r>
              <w:rPr>
                <w:rFonts w:hint="eastAsia" w:ascii="宋体" w:hAnsi="宋体" w:cs="仿宋_GB2312"/>
                <w:sz w:val="24"/>
              </w:rPr>
              <w:t>开展产品、系统集成等测试工作，包括测试计划、准备和执行，完成测试案例、脚本及数据的编制和准备，及时组织系统修补和必要的回归测试，形成测试报告；协助开展用户验收测试相关工作</w:t>
            </w:r>
          </w:p>
        </w:tc>
      </w:tr>
      <w:tr w14:paraId="2DB4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7" w:type="dxa"/>
            <w:tcBorders>
              <w:top w:val="single" w:color="auto" w:sz="4" w:space="0"/>
              <w:left w:val="single" w:color="auto" w:sz="4" w:space="0"/>
              <w:right w:val="single" w:color="auto" w:sz="4" w:space="0"/>
            </w:tcBorders>
            <w:vAlign w:val="center"/>
          </w:tcPr>
          <w:p w14:paraId="469A362D">
            <w:pPr>
              <w:numPr>
                <w:ilvl w:val="0"/>
                <w:numId w:val="2"/>
              </w:numPr>
              <w:ind w:left="0" w:firstLine="0"/>
              <w:jc w:val="center"/>
              <w:rPr>
                <w:rFonts w:hint="eastAsia" w:ascii="宋体" w:hAnsi="宋体"/>
                <w:sz w:val="24"/>
              </w:rPr>
            </w:pPr>
          </w:p>
        </w:tc>
        <w:tc>
          <w:tcPr>
            <w:tcW w:w="1354" w:type="dxa"/>
            <w:tcBorders>
              <w:top w:val="single" w:color="auto" w:sz="4" w:space="0"/>
              <w:left w:val="single" w:color="auto" w:sz="4" w:space="0"/>
              <w:right w:val="single" w:color="auto" w:sz="4" w:space="0"/>
            </w:tcBorders>
            <w:vAlign w:val="center"/>
          </w:tcPr>
          <w:p w14:paraId="251D2E52">
            <w:pPr>
              <w:widowControl/>
              <w:jc w:val="center"/>
              <w:rPr>
                <w:rFonts w:hint="eastAsia" w:ascii="宋体" w:hAnsi="宋体" w:cs="仿宋_GB2312"/>
                <w:sz w:val="24"/>
              </w:rPr>
            </w:pPr>
            <w:r>
              <w:rPr>
                <w:rFonts w:hint="eastAsia" w:ascii="宋体" w:hAnsi="宋体" w:cs="仿宋_GB2312"/>
                <w:sz w:val="24"/>
              </w:rPr>
              <w:t>投产运维</w:t>
            </w:r>
          </w:p>
        </w:tc>
        <w:tc>
          <w:tcPr>
            <w:tcW w:w="6603" w:type="dxa"/>
            <w:tcBorders>
              <w:top w:val="single" w:color="auto" w:sz="4" w:space="0"/>
              <w:left w:val="single" w:color="auto" w:sz="4" w:space="0"/>
              <w:right w:val="single" w:color="auto" w:sz="4" w:space="0"/>
            </w:tcBorders>
            <w:vAlign w:val="center"/>
          </w:tcPr>
          <w:p w14:paraId="6B86CEB0">
            <w:pPr>
              <w:widowControl/>
              <w:rPr>
                <w:rFonts w:hint="eastAsia" w:ascii="宋体" w:hAnsi="宋体" w:cs="仿宋_GB2312"/>
                <w:sz w:val="24"/>
              </w:rPr>
            </w:pPr>
            <w:r>
              <w:rPr>
                <w:rFonts w:hint="eastAsia" w:ascii="宋体" w:hAnsi="宋体" w:cs="仿宋_GB2312"/>
                <w:sz w:val="24"/>
              </w:rPr>
              <w:t>为系统投产演练和投产上线等提供必要支持，包括但不限于各类方案计划和流程策略的制定、现场人员支持及运维培训等工作</w:t>
            </w:r>
          </w:p>
        </w:tc>
      </w:tr>
      <w:tr w14:paraId="7327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7" w:type="dxa"/>
            <w:tcBorders>
              <w:top w:val="single" w:color="auto" w:sz="4" w:space="0"/>
              <w:left w:val="single" w:color="auto" w:sz="4" w:space="0"/>
              <w:right w:val="single" w:color="auto" w:sz="4" w:space="0"/>
            </w:tcBorders>
            <w:vAlign w:val="center"/>
          </w:tcPr>
          <w:p w14:paraId="7157E53F">
            <w:pPr>
              <w:numPr>
                <w:ilvl w:val="0"/>
                <w:numId w:val="2"/>
              </w:numPr>
              <w:ind w:left="0" w:firstLine="0"/>
              <w:jc w:val="center"/>
              <w:rPr>
                <w:rFonts w:hint="eastAsia" w:ascii="宋体" w:hAnsi="宋体"/>
                <w:sz w:val="24"/>
              </w:rPr>
            </w:pPr>
          </w:p>
        </w:tc>
        <w:tc>
          <w:tcPr>
            <w:tcW w:w="1354" w:type="dxa"/>
            <w:tcBorders>
              <w:top w:val="single" w:color="auto" w:sz="4" w:space="0"/>
              <w:left w:val="single" w:color="auto" w:sz="4" w:space="0"/>
              <w:right w:val="single" w:color="auto" w:sz="4" w:space="0"/>
            </w:tcBorders>
            <w:vAlign w:val="center"/>
          </w:tcPr>
          <w:p w14:paraId="54028624">
            <w:pPr>
              <w:widowControl/>
              <w:jc w:val="center"/>
              <w:rPr>
                <w:rFonts w:hint="eastAsia" w:ascii="宋体" w:hAnsi="宋体" w:cs="仿宋_GB2312"/>
                <w:sz w:val="24"/>
              </w:rPr>
            </w:pPr>
            <w:r>
              <w:rPr>
                <w:rFonts w:hint="eastAsia" w:ascii="宋体" w:hAnsi="宋体" w:cs="仿宋_GB2312"/>
                <w:sz w:val="24"/>
              </w:rPr>
              <w:t>应用运维</w:t>
            </w:r>
          </w:p>
        </w:tc>
        <w:tc>
          <w:tcPr>
            <w:tcW w:w="6603" w:type="dxa"/>
            <w:tcBorders>
              <w:top w:val="single" w:color="auto" w:sz="4" w:space="0"/>
              <w:left w:val="single" w:color="auto" w:sz="4" w:space="0"/>
              <w:right w:val="single" w:color="auto" w:sz="4" w:space="0"/>
            </w:tcBorders>
            <w:vAlign w:val="center"/>
          </w:tcPr>
          <w:p w14:paraId="7FE0EE6A">
            <w:pPr>
              <w:widowControl/>
              <w:rPr>
                <w:rFonts w:hint="eastAsia" w:ascii="宋体" w:hAnsi="宋体" w:cs="仿宋_GB2312"/>
                <w:sz w:val="24"/>
              </w:rPr>
            </w:pPr>
            <w:r>
              <w:rPr>
                <w:rFonts w:hint="eastAsia" w:ascii="宋体" w:hAnsi="宋体" w:cs="仿宋_GB2312"/>
                <w:sz w:val="24"/>
              </w:rPr>
              <w:t>在本项目投产后至合同周期结束前，安排人员负责本项目开发、改造功能的日常应用二级运维工作。</w:t>
            </w:r>
          </w:p>
        </w:tc>
      </w:tr>
      <w:tr w14:paraId="3E2A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7" w:type="dxa"/>
            <w:tcBorders>
              <w:top w:val="single" w:color="auto" w:sz="4" w:space="0"/>
              <w:left w:val="single" w:color="auto" w:sz="4" w:space="0"/>
              <w:right w:val="single" w:color="auto" w:sz="4" w:space="0"/>
            </w:tcBorders>
            <w:vAlign w:val="center"/>
          </w:tcPr>
          <w:p w14:paraId="442D5659">
            <w:pPr>
              <w:numPr>
                <w:ilvl w:val="0"/>
                <w:numId w:val="2"/>
              </w:numPr>
              <w:ind w:left="0" w:firstLine="0"/>
              <w:jc w:val="center"/>
              <w:rPr>
                <w:rFonts w:hint="eastAsia" w:ascii="宋体" w:hAnsi="宋体"/>
                <w:sz w:val="24"/>
              </w:rPr>
            </w:pPr>
          </w:p>
        </w:tc>
        <w:tc>
          <w:tcPr>
            <w:tcW w:w="1354" w:type="dxa"/>
            <w:tcBorders>
              <w:top w:val="single" w:color="auto" w:sz="4" w:space="0"/>
              <w:left w:val="single" w:color="auto" w:sz="4" w:space="0"/>
              <w:right w:val="single" w:color="auto" w:sz="4" w:space="0"/>
            </w:tcBorders>
            <w:vAlign w:val="center"/>
          </w:tcPr>
          <w:p w14:paraId="1A567810">
            <w:pPr>
              <w:widowControl/>
              <w:jc w:val="center"/>
              <w:rPr>
                <w:rFonts w:hint="eastAsia" w:ascii="宋体" w:hAnsi="宋体" w:cs="仿宋_GB2312"/>
                <w:sz w:val="24"/>
              </w:rPr>
            </w:pPr>
            <w:r>
              <w:rPr>
                <w:rFonts w:hint="eastAsia" w:ascii="宋体" w:hAnsi="宋体" w:cs="仿宋_GB2312"/>
                <w:sz w:val="24"/>
              </w:rPr>
              <w:t>培训及知识转移</w:t>
            </w:r>
          </w:p>
        </w:tc>
        <w:tc>
          <w:tcPr>
            <w:tcW w:w="6603" w:type="dxa"/>
            <w:tcBorders>
              <w:top w:val="single" w:color="auto" w:sz="4" w:space="0"/>
              <w:left w:val="single" w:color="auto" w:sz="4" w:space="0"/>
              <w:right w:val="single" w:color="auto" w:sz="4" w:space="0"/>
            </w:tcBorders>
            <w:vAlign w:val="center"/>
          </w:tcPr>
          <w:p w14:paraId="0248CE97">
            <w:pPr>
              <w:widowControl/>
              <w:rPr>
                <w:rFonts w:hint="eastAsia" w:ascii="宋体" w:hAnsi="宋体"/>
                <w:sz w:val="24"/>
              </w:rPr>
            </w:pPr>
            <w:r>
              <w:rPr>
                <w:rFonts w:hint="eastAsia" w:ascii="宋体" w:hAnsi="宋体" w:cs="仿宋_GB2312"/>
                <w:sz w:val="24"/>
              </w:rPr>
              <w:t>通过必要培训使采购人相关人员，以及采购人指定的人员（包括第三方人员），熟悉系统内容和功能，以及使用权限划分与操作方式，包括系统架构、部署运维、参数配置等内容；提供完备的培训材料；掌握本项目新客户化开发部分功能的二次开发能力</w:t>
            </w:r>
          </w:p>
        </w:tc>
      </w:tr>
    </w:tbl>
    <w:p w14:paraId="718D1D39">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bookmarkStart w:id="5" w:name="_Toc15299"/>
      <w:bookmarkStart w:id="6" w:name="_Toc628"/>
      <w:r>
        <w:rPr>
          <w:rFonts w:hint="eastAsia" w:ascii="宋体" w:hAnsi="宋体"/>
          <w:b/>
          <w:bCs/>
          <w:sz w:val="24"/>
        </w:rPr>
        <w:t>业务要求</w:t>
      </w:r>
      <w:bookmarkEnd w:id="5"/>
    </w:p>
    <w:p w14:paraId="4DA71854">
      <w:pPr>
        <w:spacing w:line="360" w:lineRule="auto"/>
        <w:ind w:firstLine="480" w:firstLineChars="200"/>
        <w:rPr>
          <w:rFonts w:hint="eastAsia" w:ascii="宋体" w:hAnsi="宋体" w:cs="仿宋_GB2312"/>
          <w:sz w:val="24"/>
        </w:rPr>
      </w:pPr>
      <w:r>
        <w:rPr>
          <w:rFonts w:hint="eastAsia" w:ascii="宋体" w:hAnsi="宋体" w:cs="仿宋_GB2312"/>
          <w:sz w:val="24"/>
        </w:rPr>
        <w:t>2026年6月30日前完成系统功能改造并投产上线。各业务需求说明书中对需求提出了详细了业务要求和调整内容。具体可见业务需求说明书。</w:t>
      </w:r>
    </w:p>
    <w:tbl>
      <w:tblPr>
        <w:tblStyle w:val="4"/>
        <w:tblW w:w="9366" w:type="dxa"/>
        <w:tblInd w:w="240" w:type="dxa"/>
        <w:tblLayout w:type="fixed"/>
        <w:tblCellMar>
          <w:top w:w="0" w:type="dxa"/>
          <w:left w:w="108" w:type="dxa"/>
          <w:bottom w:w="0" w:type="dxa"/>
          <w:right w:w="108" w:type="dxa"/>
        </w:tblCellMar>
      </w:tblPr>
      <w:tblGrid>
        <w:gridCol w:w="805"/>
        <w:gridCol w:w="2490"/>
        <w:gridCol w:w="6071"/>
      </w:tblGrid>
      <w:tr w14:paraId="1608922D">
        <w:tblPrEx>
          <w:tblCellMar>
            <w:top w:w="0" w:type="dxa"/>
            <w:left w:w="108" w:type="dxa"/>
            <w:bottom w:w="0" w:type="dxa"/>
            <w:right w:w="108" w:type="dxa"/>
          </w:tblCellMar>
        </w:tblPrEx>
        <w:trPr>
          <w:trHeight w:val="557" w:hRule="atLeast"/>
          <w:tblHeader/>
        </w:trPr>
        <w:tc>
          <w:tcPr>
            <w:tcW w:w="805" w:type="dxa"/>
            <w:tcBorders>
              <w:top w:val="single" w:color="000000" w:sz="4" w:space="0"/>
              <w:left w:val="single" w:color="000000" w:sz="4" w:space="0"/>
              <w:bottom w:val="single" w:color="000000" w:sz="4" w:space="0"/>
              <w:right w:val="single" w:color="000000" w:sz="4" w:space="0"/>
            </w:tcBorders>
            <w:vAlign w:val="center"/>
          </w:tcPr>
          <w:p w14:paraId="1E5D3BD7">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序号</w:t>
            </w:r>
          </w:p>
        </w:tc>
        <w:tc>
          <w:tcPr>
            <w:tcW w:w="2490" w:type="dxa"/>
            <w:tcBorders>
              <w:top w:val="single" w:color="000000" w:sz="4" w:space="0"/>
              <w:left w:val="single" w:color="000000" w:sz="4" w:space="0"/>
              <w:bottom w:val="single" w:color="000000" w:sz="4" w:space="0"/>
              <w:right w:val="single" w:color="000000" w:sz="4" w:space="0"/>
            </w:tcBorders>
            <w:vAlign w:val="center"/>
          </w:tcPr>
          <w:p w14:paraId="79CD5B1A">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需求简称</w:t>
            </w:r>
          </w:p>
        </w:tc>
        <w:tc>
          <w:tcPr>
            <w:tcW w:w="6071" w:type="dxa"/>
            <w:tcBorders>
              <w:top w:val="single" w:color="000000" w:sz="4" w:space="0"/>
              <w:left w:val="single" w:color="000000" w:sz="4" w:space="0"/>
              <w:bottom w:val="single" w:color="000000" w:sz="4" w:space="0"/>
              <w:right w:val="single" w:color="000000" w:sz="4" w:space="0"/>
            </w:tcBorders>
            <w:vAlign w:val="center"/>
          </w:tcPr>
          <w:p w14:paraId="562CF6E5">
            <w:pPr>
              <w:widowControl/>
              <w:jc w:val="center"/>
              <w:textAlignment w:val="center"/>
              <w:rPr>
                <w:rFonts w:hint="eastAsia" w:ascii="宋体" w:hAnsi="宋体" w:cs="黑体"/>
                <w:color w:val="FF0000"/>
                <w:sz w:val="24"/>
              </w:rPr>
            </w:pPr>
            <w:r>
              <w:rPr>
                <w:rFonts w:hint="eastAsia" w:ascii="宋体" w:hAnsi="宋体" w:cs="黑体"/>
                <w:kern w:val="0"/>
                <w:sz w:val="24"/>
                <w:lang w:bidi="ar"/>
              </w:rPr>
              <w:t>业务需求概述</w:t>
            </w:r>
          </w:p>
        </w:tc>
      </w:tr>
      <w:tr w14:paraId="1A150940">
        <w:tblPrEx>
          <w:tblCellMar>
            <w:top w:w="0" w:type="dxa"/>
            <w:left w:w="108" w:type="dxa"/>
            <w:bottom w:w="0" w:type="dxa"/>
            <w:right w:w="108" w:type="dxa"/>
          </w:tblCellMar>
        </w:tblPrEx>
        <w:trPr>
          <w:trHeight w:val="538"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61DC79CC">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623982D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贸金业务系统归档需求（项目卷）</w:t>
            </w:r>
          </w:p>
        </w:tc>
        <w:tc>
          <w:tcPr>
            <w:tcW w:w="6071" w:type="dxa"/>
            <w:tcBorders>
              <w:top w:val="single" w:color="000000" w:sz="4" w:space="0"/>
              <w:left w:val="single" w:color="000000" w:sz="4" w:space="0"/>
              <w:bottom w:val="single" w:color="000000" w:sz="4" w:space="0"/>
              <w:right w:val="single" w:color="000000" w:sz="4" w:space="0"/>
            </w:tcBorders>
            <w:vAlign w:val="center"/>
          </w:tcPr>
          <w:p w14:paraId="535C617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实现贸金档案项目卷相关数据通过接口方式传输至综合档案</w:t>
            </w:r>
          </w:p>
        </w:tc>
      </w:tr>
      <w:tr w14:paraId="351535F1">
        <w:tblPrEx>
          <w:tblCellMar>
            <w:top w:w="0" w:type="dxa"/>
            <w:left w:w="108" w:type="dxa"/>
            <w:bottom w:w="0" w:type="dxa"/>
            <w:right w:w="108" w:type="dxa"/>
          </w:tblCellMar>
        </w:tblPrEx>
        <w:trPr>
          <w:trHeight w:val="46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341093FF">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7B0A7CD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信贷业务系统归档需求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5C654BA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实现信贷业务档案相关数据通过接口方式传输至综合档案</w:t>
            </w:r>
          </w:p>
        </w:tc>
      </w:tr>
      <w:tr w14:paraId="26658D05">
        <w:tblPrEx>
          <w:tblCellMar>
            <w:top w:w="0" w:type="dxa"/>
            <w:left w:w="108" w:type="dxa"/>
            <w:bottom w:w="0" w:type="dxa"/>
            <w:right w:w="108" w:type="dxa"/>
          </w:tblCellMar>
        </w:tblPrEx>
        <w:trPr>
          <w:trHeight w:val="554"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9C32F54">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1FFB55A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普惠业务电子文件归档</w:t>
            </w:r>
          </w:p>
        </w:tc>
        <w:tc>
          <w:tcPr>
            <w:tcW w:w="6071" w:type="dxa"/>
            <w:tcBorders>
              <w:top w:val="single" w:color="000000" w:sz="4" w:space="0"/>
              <w:left w:val="single" w:color="000000" w:sz="4" w:space="0"/>
              <w:bottom w:val="single" w:color="000000" w:sz="4" w:space="0"/>
              <w:right w:val="single" w:color="000000" w:sz="4" w:space="0"/>
            </w:tcBorders>
            <w:vAlign w:val="center"/>
          </w:tcPr>
          <w:p w14:paraId="08119A9F">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实现普惠业务档案相关数据通过接口方式传输至综合档案</w:t>
            </w:r>
          </w:p>
        </w:tc>
      </w:tr>
      <w:tr w14:paraId="20F1EDEA">
        <w:tblPrEx>
          <w:tblCellMar>
            <w:top w:w="0" w:type="dxa"/>
            <w:left w:w="108" w:type="dxa"/>
            <w:bottom w:w="0" w:type="dxa"/>
            <w:right w:w="108" w:type="dxa"/>
          </w:tblCellMar>
        </w:tblPrEx>
        <w:trPr>
          <w:trHeight w:val="775"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20DFC8B1">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4422F9E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贸赢贷中信保接口升级改造</w:t>
            </w:r>
          </w:p>
        </w:tc>
        <w:tc>
          <w:tcPr>
            <w:tcW w:w="6071" w:type="dxa"/>
            <w:tcBorders>
              <w:top w:val="single" w:color="000000" w:sz="4" w:space="0"/>
              <w:left w:val="single" w:color="000000" w:sz="4" w:space="0"/>
              <w:bottom w:val="single" w:color="000000" w:sz="4" w:space="0"/>
              <w:right w:val="single" w:color="000000" w:sz="4" w:space="0"/>
            </w:tcBorders>
            <w:vAlign w:val="center"/>
          </w:tcPr>
          <w:p w14:paraId="0CD9F75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中信保升级系统，导致老接口无法使用，现需要根据中信保最新接口进行优化改造</w:t>
            </w:r>
          </w:p>
        </w:tc>
      </w:tr>
      <w:tr w14:paraId="5B2C5649">
        <w:tblPrEx>
          <w:tblCellMar>
            <w:top w:w="0" w:type="dxa"/>
            <w:left w:w="108" w:type="dxa"/>
            <w:bottom w:w="0" w:type="dxa"/>
            <w:right w:w="108" w:type="dxa"/>
          </w:tblCellMar>
        </w:tblPrEx>
        <w:trPr>
          <w:trHeight w:val="701"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7C40FDC6">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645497F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三档利率贷款等改造功能</w:t>
            </w:r>
          </w:p>
        </w:tc>
        <w:tc>
          <w:tcPr>
            <w:tcW w:w="6071" w:type="dxa"/>
            <w:tcBorders>
              <w:top w:val="single" w:color="000000" w:sz="4" w:space="0"/>
              <w:left w:val="single" w:color="000000" w:sz="4" w:space="0"/>
              <w:bottom w:val="single" w:color="000000" w:sz="4" w:space="0"/>
              <w:right w:val="single" w:color="000000" w:sz="4" w:space="0"/>
            </w:tcBorders>
            <w:vAlign w:val="center"/>
          </w:tcPr>
          <w:p w14:paraId="1C57463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根据人行对三档利率定价机制的最新要求，进行系统改造</w:t>
            </w:r>
          </w:p>
        </w:tc>
      </w:tr>
      <w:tr w14:paraId="5166016A">
        <w:tblPrEx>
          <w:tblCellMar>
            <w:top w:w="0" w:type="dxa"/>
            <w:left w:w="108" w:type="dxa"/>
            <w:bottom w:w="0" w:type="dxa"/>
            <w:right w:w="108" w:type="dxa"/>
          </w:tblCellMar>
        </w:tblPrEx>
        <w:trPr>
          <w:trHeight w:val="69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4EF706DC">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75CF05A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自营性业务负面清单管理业务-贸金</w:t>
            </w:r>
          </w:p>
        </w:tc>
        <w:tc>
          <w:tcPr>
            <w:tcW w:w="6071" w:type="dxa"/>
            <w:tcBorders>
              <w:top w:val="single" w:color="000000" w:sz="4" w:space="0"/>
              <w:left w:val="single" w:color="000000" w:sz="4" w:space="0"/>
              <w:bottom w:val="single" w:color="000000" w:sz="4" w:space="0"/>
              <w:right w:val="single" w:color="000000" w:sz="4" w:space="0"/>
            </w:tcBorders>
            <w:vAlign w:val="center"/>
          </w:tcPr>
          <w:p w14:paraId="2219C34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在系统实现负面清单业务新增控制和存量业务管理</w:t>
            </w:r>
          </w:p>
        </w:tc>
      </w:tr>
      <w:tr w14:paraId="232F95DD">
        <w:tblPrEx>
          <w:tblCellMar>
            <w:top w:w="0" w:type="dxa"/>
            <w:left w:w="108" w:type="dxa"/>
            <w:bottom w:w="0" w:type="dxa"/>
            <w:right w:w="108" w:type="dxa"/>
          </w:tblCellMar>
        </w:tblPrEx>
        <w:trPr>
          <w:trHeight w:val="113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5151324C">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330371F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资金管理系统自贸同业存单需求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2636E65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本需求为自贸区业务配套需求，目的为支持上海分行在自贸区项下开办相应的资金筹集工作，支持自贸区业务开展。功能预计由上海分行使用，暂不涉及其他经营单位。</w:t>
            </w:r>
          </w:p>
        </w:tc>
      </w:tr>
      <w:tr w14:paraId="1D5087F9">
        <w:tblPrEx>
          <w:tblCellMar>
            <w:top w:w="0" w:type="dxa"/>
            <w:left w:w="108" w:type="dxa"/>
            <w:bottom w:w="0" w:type="dxa"/>
            <w:right w:w="108" w:type="dxa"/>
          </w:tblCellMar>
        </w:tblPrEx>
        <w:trPr>
          <w:trHeight w:val="569"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7394F53B">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3490D03F">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进出口银行“单一窗口”业务需求中央版</w:t>
            </w:r>
          </w:p>
        </w:tc>
        <w:tc>
          <w:tcPr>
            <w:tcW w:w="6071" w:type="dxa"/>
            <w:tcBorders>
              <w:top w:val="single" w:color="000000" w:sz="4" w:space="0"/>
              <w:left w:val="single" w:color="000000" w:sz="4" w:space="0"/>
              <w:bottom w:val="single" w:color="000000" w:sz="4" w:space="0"/>
              <w:right w:val="single" w:color="000000" w:sz="4" w:space="0"/>
            </w:tcBorders>
            <w:vAlign w:val="center"/>
          </w:tcPr>
          <w:p w14:paraId="3291C57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连接海关总署的“单一窗口”系统，功能适用于采购人客户从单一窗口办理国际结算业务的场景。</w:t>
            </w:r>
          </w:p>
        </w:tc>
      </w:tr>
      <w:tr w14:paraId="5DFDD1C5">
        <w:tblPrEx>
          <w:tblCellMar>
            <w:top w:w="0" w:type="dxa"/>
            <w:left w:w="108" w:type="dxa"/>
            <w:bottom w:w="0" w:type="dxa"/>
            <w:right w:w="108" w:type="dxa"/>
          </w:tblCellMar>
        </w:tblPrEx>
        <w:trPr>
          <w:trHeight w:val="790"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357D21F7">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1C8CD7A6">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票交所拒付通知文件处理需求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6239C9C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根据票交所通知，支持票交所下发的拒付通知文件的处理。</w:t>
            </w:r>
          </w:p>
        </w:tc>
      </w:tr>
      <w:tr w14:paraId="0CDBBA7C">
        <w:tblPrEx>
          <w:tblCellMar>
            <w:top w:w="0" w:type="dxa"/>
            <w:left w:w="108" w:type="dxa"/>
            <w:bottom w:w="0" w:type="dxa"/>
            <w:right w:w="108" w:type="dxa"/>
          </w:tblCellMar>
        </w:tblPrEx>
        <w:trPr>
          <w:trHeight w:val="1128"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6D65588B">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6402AE8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失效票据处理需求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55ED54D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获取并解析票交所通知报文，根据报文信息，在企业网银和票据系统中将超过系统票据业务办理时限的票据状态变更为“已逾票据业务办理时限”，并按通知中要求提示客户。</w:t>
            </w:r>
          </w:p>
        </w:tc>
      </w:tr>
      <w:tr w14:paraId="71BEF77A">
        <w:tblPrEx>
          <w:tblCellMar>
            <w:top w:w="0" w:type="dxa"/>
            <w:left w:w="108" w:type="dxa"/>
            <w:bottom w:w="0" w:type="dxa"/>
            <w:right w:w="108" w:type="dxa"/>
          </w:tblCellMar>
        </w:tblPrEx>
        <w:trPr>
          <w:trHeight w:val="579"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648DD161">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2FA6682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自贸账户转睡眠及营业外需求书</w:t>
            </w:r>
          </w:p>
        </w:tc>
        <w:tc>
          <w:tcPr>
            <w:tcW w:w="6071" w:type="dxa"/>
            <w:tcBorders>
              <w:top w:val="single" w:color="000000" w:sz="4" w:space="0"/>
              <w:left w:val="single" w:color="000000" w:sz="4" w:space="0"/>
              <w:bottom w:val="single" w:color="000000" w:sz="4" w:space="0"/>
              <w:right w:val="single" w:color="000000" w:sz="4" w:space="0"/>
            </w:tcBorders>
            <w:vAlign w:val="center"/>
          </w:tcPr>
          <w:p w14:paraId="1DF5976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实现系统对FT账户（多币种）的睡眠处理（包括手工和批量）。</w:t>
            </w:r>
          </w:p>
        </w:tc>
      </w:tr>
      <w:tr w14:paraId="41D075AC">
        <w:tblPrEx>
          <w:tblCellMar>
            <w:top w:w="0" w:type="dxa"/>
            <w:left w:w="108" w:type="dxa"/>
            <w:bottom w:w="0" w:type="dxa"/>
            <w:right w:w="108" w:type="dxa"/>
          </w:tblCellMar>
        </w:tblPrEx>
        <w:trPr>
          <w:trHeight w:val="1020"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4628FD14">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2D81C88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征信报送系统数据治理优化业务需求书</w:t>
            </w:r>
          </w:p>
        </w:tc>
        <w:tc>
          <w:tcPr>
            <w:tcW w:w="6071" w:type="dxa"/>
            <w:tcBorders>
              <w:top w:val="single" w:color="000000" w:sz="4" w:space="0"/>
              <w:left w:val="single" w:color="000000" w:sz="4" w:space="0"/>
              <w:bottom w:val="single" w:color="000000" w:sz="4" w:space="0"/>
              <w:right w:val="single" w:color="000000" w:sz="4" w:space="0"/>
            </w:tcBorders>
            <w:vAlign w:val="center"/>
          </w:tcPr>
          <w:p w14:paraId="66F78C5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为提升征信数据质量，拟优化征信报文功能（如护照号报送报文、数据报送报文等），对报送中部分字段进行优化。</w:t>
            </w:r>
          </w:p>
        </w:tc>
      </w:tr>
      <w:tr w14:paraId="40375A09">
        <w:tblPrEx>
          <w:tblCellMar>
            <w:top w:w="0" w:type="dxa"/>
            <w:left w:w="108" w:type="dxa"/>
            <w:bottom w:w="0" w:type="dxa"/>
            <w:right w:w="108" w:type="dxa"/>
          </w:tblCellMar>
        </w:tblPrEx>
        <w:trPr>
          <w:trHeight w:val="1361"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753F0F90">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0F44FD7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新一代征信系统-港澳居民来往内地通行证（非中国籍）证件信息相关优化</w:t>
            </w:r>
          </w:p>
        </w:tc>
        <w:tc>
          <w:tcPr>
            <w:tcW w:w="6071" w:type="dxa"/>
            <w:tcBorders>
              <w:top w:val="single" w:color="000000" w:sz="4" w:space="0"/>
              <w:left w:val="single" w:color="000000" w:sz="4" w:space="0"/>
              <w:bottom w:val="single" w:color="000000" w:sz="4" w:space="0"/>
              <w:right w:val="single" w:color="000000" w:sz="4" w:space="0"/>
            </w:tcBorders>
            <w:vAlign w:val="center"/>
          </w:tcPr>
          <w:p w14:paraId="64BCF60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实现支持报送港澳居民来往内地通行证（非中国籍）证件信息。</w:t>
            </w:r>
          </w:p>
        </w:tc>
      </w:tr>
      <w:tr w14:paraId="32C9B26C">
        <w:tblPrEx>
          <w:tblCellMar>
            <w:top w:w="0" w:type="dxa"/>
            <w:left w:w="108" w:type="dxa"/>
            <w:bottom w:w="0" w:type="dxa"/>
            <w:right w:w="108" w:type="dxa"/>
          </w:tblCellMar>
        </w:tblPrEx>
        <w:trPr>
          <w:trHeight w:val="990"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2685EFE6">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7B51223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FAL业务需求书</w:t>
            </w:r>
          </w:p>
        </w:tc>
        <w:tc>
          <w:tcPr>
            <w:tcW w:w="6071" w:type="dxa"/>
            <w:tcBorders>
              <w:top w:val="single" w:color="000000" w:sz="4" w:space="0"/>
              <w:left w:val="single" w:color="000000" w:sz="4" w:space="0"/>
              <w:bottom w:val="single" w:color="000000" w:sz="4" w:space="0"/>
              <w:right w:val="single" w:color="000000" w:sz="4" w:space="0"/>
            </w:tcBorders>
            <w:vAlign w:val="center"/>
          </w:tcPr>
          <w:p w14:paraId="729AAC1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调整FAL中部分字段逻辑；在原取数规则不变的情况下，增加</w:t>
            </w:r>
            <w:r>
              <w:rPr>
                <w:rFonts w:ascii="宋体" w:hAnsi="宋体" w:cs="仿宋_GB2312"/>
                <w:color w:val="000000"/>
                <w:kern w:val="0"/>
                <w:sz w:val="24"/>
                <w:lang w:bidi="ar"/>
              </w:rPr>
              <w:t>相关表</w:t>
            </w:r>
            <w:r>
              <w:rPr>
                <w:rFonts w:hint="eastAsia" w:ascii="宋体" w:hAnsi="宋体" w:cs="仿宋_GB2312"/>
                <w:color w:val="000000"/>
                <w:kern w:val="0"/>
                <w:sz w:val="24"/>
                <w:lang w:bidi="ar"/>
              </w:rPr>
              <w:t>取数规则；增加</w:t>
            </w:r>
            <w:r>
              <w:rPr>
                <w:rFonts w:ascii="宋体" w:hAnsi="宋体" w:cs="仿宋_GB2312"/>
                <w:color w:val="000000"/>
                <w:kern w:val="0"/>
                <w:sz w:val="24"/>
                <w:lang w:bidi="ar"/>
              </w:rPr>
              <w:t>相关表</w:t>
            </w:r>
            <w:r>
              <w:rPr>
                <w:rFonts w:hint="eastAsia" w:ascii="宋体" w:hAnsi="宋体" w:cs="仿宋_GB2312"/>
                <w:color w:val="000000"/>
                <w:kern w:val="0"/>
                <w:sz w:val="24"/>
                <w:lang w:bidi="ar"/>
              </w:rPr>
              <w:t>映射规则；对于</w:t>
            </w:r>
            <w:r>
              <w:rPr>
                <w:rFonts w:ascii="宋体" w:hAnsi="宋体" w:cs="仿宋_GB2312"/>
                <w:color w:val="000000"/>
                <w:kern w:val="0"/>
                <w:sz w:val="24"/>
                <w:lang w:bidi="ar"/>
              </w:rPr>
              <w:t>相关表</w:t>
            </w:r>
            <w:r>
              <w:rPr>
                <w:rFonts w:hint="eastAsia" w:ascii="宋体" w:hAnsi="宋体" w:cs="仿宋_GB2312"/>
                <w:color w:val="000000"/>
                <w:kern w:val="0"/>
                <w:sz w:val="24"/>
                <w:lang w:bidi="ar"/>
              </w:rPr>
              <w:t>中拆出场景修改取数逻辑。</w:t>
            </w:r>
          </w:p>
        </w:tc>
      </w:tr>
      <w:tr w14:paraId="215E0934">
        <w:tblPrEx>
          <w:tblCellMar>
            <w:top w:w="0" w:type="dxa"/>
            <w:left w:w="108" w:type="dxa"/>
            <w:bottom w:w="0" w:type="dxa"/>
            <w:right w:w="108" w:type="dxa"/>
          </w:tblCellMar>
        </w:tblPrEx>
        <w:trPr>
          <w:trHeight w:val="281"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7ECEA3A2">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58688C3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客户服务部新增银团贷款报表需求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3DD7F85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实现定期给中国银行业协会报送银团贷款业务数据</w:t>
            </w:r>
          </w:p>
        </w:tc>
      </w:tr>
      <w:tr w14:paraId="380A94CE">
        <w:tblPrEx>
          <w:tblCellMar>
            <w:top w:w="0" w:type="dxa"/>
            <w:left w:w="108" w:type="dxa"/>
            <w:bottom w:w="0" w:type="dxa"/>
            <w:right w:w="108" w:type="dxa"/>
          </w:tblCellMar>
        </w:tblPrEx>
        <w:trPr>
          <w:trHeight w:val="23"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2F93D833">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55D9DAD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优化主权债务统计平台报表需求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21AE554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优化报表系统中内部报表-财政部主权债务统计平台报表取数规则，以提高数据准确性。</w:t>
            </w:r>
          </w:p>
        </w:tc>
      </w:tr>
      <w:tr w14:paraId="1A5EFEBE">
        <w:tblPrEx>
          <w:tblCellMar>
            <w:top w:w="0" w:type="dxa"/>
            <w:left w:w="108" w:type="dxa"/>
            <w:bottom w:w="0" w:type="dxa"/>
            <w:right w:w="108" w:type="dxa"/>
          </w:tblCellMar>
        </w:tblPrEx>
        <w:trPr>
          <w:trHeight w:val="23"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8FB8106">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3391830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监管应用人行报送优化业务需求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705C275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人行数据集中统计报表是依据人民银行金融统计制度开展的报送工作，报送过程中，发现部分指标口径、跑批流程等需进行优化，为保证人行数据集中统计报表报送准确性，需要进行系统改造。</w:t>
            </w:r>
          </w:p>
        </w:tc>
      </w:tr>
      <w:tr w14:paraId="45B0989E">
        <w:tblPrEx>
          <w:tblCellMar>
            <w:top w:w="0" w:type="dxa"/>
            <w:left w:w="108" w:type="dxa"/>
            <w:bottom w:w="0" w:type="dxa"/>
            <w:right w:w="108" w:type="dxa"/>
          </w:tblCellMar>
        </w:tblPrEx>
        <w:trPr>
          <w:trHeight w:val="23"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495F7E7D">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6F84557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人行数据大集中报送（PBOC）在相关报表增设户数指标业务需求书</w:t>
            </w:r>
          </w:p>
        </w:tc>
        <w:tc>
          <w:tcPr>
            <w:tcW w:w="6071" w:type="dxa"/>
            <w:tcBorders>
              <w:top w:val="single" w:color="000000" w:sz="4" w:space="0"/>
              <w:left w:val="single" w:color="000000" w:sz="4" w:space="0"/>
              <w:bottom w:val="single" w:color="000000" w:sz="4" w:space="0"/>
              <w:right w:val="single" w:color="000000" w:sz="4" w:space="0"/>
            </w:tcBorders>
            <w:vAlign w:val="center"/>
          </w:tcPr>
          <w:p w14:paraId="42D021E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在月报二批报表中新增部分户数指标。</w:t>
            </w:r>
          </w:p>
        </w:tc>
      </w:tr>
      <w:tr w14:paraId="0386FCFA">
        <w:tblPrEx>
          <w:tblCellMar>
            <w:top w:w="0" w:type="dxa"/>
            <w:left w:w="108" w:type="dxa"/>
            <w:bottom w:w="0" w:type="dxa"/>
            <w:right w:w="108" w:type="dxa"/>
          </w:tblCellMar>
        </w:tblPrEx>
        <w:trPr>
          <w:trHeight w:val="1005"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22DBC41C">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63FF306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监管应用-利率报备</w:t>
            </w:r>
          </w:p>
        </w:tc>
        <w:tc>
          <w:tcPr>
            <w:tcW w:w="6071" w:type="dxa"/>
            <w:tcBorders>
              <w:top w:val="single" w:color="000000" w:sz="4" w:space="0"/>
              <w:left w:val="single" w:color="000000" w:sz="4" w:space="0"/>
              <w:bottom w:val="single" w:color="000000" w:sz="4" w:space="0"/>
              <w:right w:val="single" w:color="000000" w:sz="4" w:space="0"/>
            </w:tcBorders>
            <w:vAlign w:val="center"/>
          </w:tcPr>
          <w:p w14:paraId="4FF19FA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新增新口径NR表报送功能，在逐笔系统基础上构建NR表进行月度报送；修改现有利率报备部分字段</w:t>
            </w:r>
            <w:r>
              <w:rPr>
                <w:rFonts w:hint="eastAsia" w:ascii="宋体" w:hAnsi="宋体" w:cs="仿宋_GB2312"/>
                <w:sz w:val="24"/>
              </w:rPr>
              <w:t>填写规则</w:t>
            </w:r>
            <w:r>
              <w:rPr>
                <w:rFonts w:hint="eastAsia" w:ascii="宋体" w:hAnsi="宋体" w:cs="仿宋_GB2312"/>
                <w:color w:val="000000"/>
                <w:kern w:val="0"/>
                <w:sz w:val="24"/>
                <w:lang w:bidi="ar"/>
              </w:rPr>
              <w:t>，及</w:t>
            </w:r>
            <w:r>
              <w:rPr>
                <w:rFonts w:hint="eastAsia" w:ascii="宋体" w:hAnsi="宋体" w:cs="仿宋_GB2312"/>
                <w:sz w:val="24"/>
              </w:rPr>
              <w:t>数据校验规则。</w:t>
            </w:r>
          </w:p>
        </w:tc>
      </w:tr>
      <w:tr w14:paraId="78787847">
        <w:tblPrEx>
          <w:tblCellMar>
            <w:top w:w="0" w:type="dxa"/>
            <w:left w:w="108" w:type="dxa"/>
            <w:bottom w:w="0" w:type="dxa"/>
            <w:right w:w="108" w:type="dxa"/>
          </w:tblCellMar>
        </w:tblPrEx>
        <w:trPr>
          <w:trHeight w:val="158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6CA3A97B">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5DA9C96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外汇业务管理信息系统新增“对外担保签约信息”报表机采功能需求书</w:t>
            </w:r>
          </w:p>
        </w:tc>
        <w:tc>
          <w:tcPr>
            <w:tcW w:w="6071" w:type="dxa"/>
            <w:tcBorders>
              <w:top w:val="single" w:color="000000" w:sz="4" w:space="0"/>
              <w:left w:val="single" w:color="000000" w:sz="4" w:space="0"/>
              <w:bottom w:val="single" w:color="000000" w:sz="4" w:space="0"/>
              <w:right w:val="single" w:color="000000" w:sz="4" w:space="0"/>
            </w:tcBorders>
            <w:vAlign w:val="center"/>
          </w:tcPr>
          <w:p w14:paraId="55A00F5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在国结系统中，保函开立时触发保函FIMS补录功能，在此页面中补录相关内容19项。业务办理完成后，FIMS系统报送申报数据。如遇对外担保签约信息的“被担保人”存在2个及以上，则需次日在FIMS中完成对被担保人10项内容的手工补录。</w:t>
            </w:r>
          </w:p>
        </w:tc>
      </w:tr>
      <w:tr w14:paraId="2DD3C097">
        <w:tblPrEx>
          <w:tblCellMar>
            <w:top w:w="0" w:type="dxa"/>
            <w:left w:w="108" w:type="dxa"/>
            <w:bottom w:w="0" w:type="dxa"/>
            <w:right w:w="108" w:type="dxa"/>
          </w:tblCellMar>
        </w:tblPrEx>
        <w:trPr>
          <w:trHeight w:val="1191"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40AB448A">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057128A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调整个别长端基差掉期数据源并安排紧急版本上线</w:t>
            </w:r>
          </w:p>
        </w:tc>
        <w:tc>
          <w:tcPr>
            <w:tcW w:w="6071" w:type="dxa"/>
            <w:tcBorders>
              <w:top w:val="single" w:color="000000" w:sz="4" w:space="0"/>
              <w:left w:val="single" w:color="000000" w:sz="4" w:space="0"/>
              <w:bottom w:val="single" w:color="000000" w:sz="4" w:space="0"/>
              <w:right w:val="single" w:color="000000" w:sz="4" w:space="0"/>
            </w:tcBorders>
            <w:vAlign w:val="center"/>
          </w:tcPr>
          <w:p w14:paraId="6130F27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调整个别长端基差掉期数据源</w:t>
            </w:r>
          </w:p>
        </w:tc>
      </w:tr>
      <w:tr w14:paraId="3E0F8BB6">
        <w:tblPrEx>
          <w:tblCellMar>
            <w:top w:w="0" w:type="dxa"/>
            <w:left w:w="108" w:type="dxa"/>
            <w:bottom w:w="0" w:type="dxa"/>
            <w:right w:w="108" w:type="dxa"/>
          </w:tblCellMar>
        </w:tblPrEx>
        <w:trPr>
          <w:trHeight w:val="1191"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2F901B27">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466E66C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国家金融监管总局1104报送2025年分类分账需求（季报部分）投管部字段取数调整</w:t>
            </w:r>
          </w:p>
        </w:tc>
        <w:tc>
          <w:tcPr>
            <w:tcW w:w="6071" w:type="dxa"/>
            <w:tcBorders>
              <w:top w:val="single" w:color="000000" w:sz="4" w:space="0"/>
              <w:left w:val="single" w:color="000000" w:sz="4" w:space="0"/>
              <w:bottom w:val="single" w:color="000000" w:sz="4" w:space="0"/>
              <w:right w:val="single" w:color="000000" w:sz="4" w:space="0"/>
            </w:tcBorders>
            <w:vAlign w:val="center"/>
          </w:tcPr>
          <w:p w14:paraId="1469E8A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调整G51表中涉及投管业务字段取数逻辑。</w:t>
            </w:r>
          </w:p>
        </w:tc>
      </w:tr>
      <w:tr w14:paraId="2D1D6B41">
        <w:tblPrEx>
          <w:tblCellMar>
            <w:top w:w="0" w:type="dxa"/>
            <w:left w:w="108" w:type="dxa"/>
            <w:bottom w:w="0" w:type="dxa"/>
            <w:right w:w="108" w:type="dxa"/>
          </w:tblCellMar>
        </w:tblPrEx>
        <w:trPr>
          <w:trHeight w:val="158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756FA9AB">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57CCFC2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自由贸易账户系统建设业务行内统计和监管报送需求(数据中心)</w:t>
            </w:r>
          </w:p>
        </w:tc>
        <w:tc>
          <w:tcPr>
            <w:tcW w:w="6071" w:type="dxa"/>
            <w:tcBorders>
              <w:top w:val="single" w:color="000000" w:sz="4" w:space="0"/>
              <w:left w:val="single" w:color="000000" w:sz="4" w:space="0"/>
              <w:bottom w:val="single" w:color="000000" w:sz="4" w:space="0"/>
              <w:right w:val="single" w:color="000000" w:sz="4" w:space="0"/>
            </w:tcBorders>
            <w:vAlign w:val="center"/>
          </w:tcPr>
          <w:p w14:paraId="6DF362A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相关监管报表（PBOC、金融基础数据、对外金融资产负债及交易统计、1104、系统重要性银行等）等均需配合进行相关改造，确保可将FTU全部业务数据取到对应机构，同时全行业务不重不漏。</w:t>
            </w:r>
          </w:p>
        </w:tc>
      </w:tr>
      <w:tr w14:paraId="5BCDAD6A">
        <w:tblPrEx>
          <w:tblCellMar>
            <w:top w:w="0" w:type="dxa"/>
            <w:left w:w="108" w:type="dxa"/>
            <w:bottom w:w="0" w:type="dxa"/>
            <w:right w:w="108" w:type="dxa"/>
          </w:tblCellMar>
        </w:tblPrEx>
        <w:trPr>
          <w:trHeight w:val="1273"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5CA85F5F">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425FB9A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自由贸易账户系统建设业务行内统计和监管报送需求(资负部)</w:t>
            </w:r>
          </w:p>
        </w:tc>
        <w:tc>
          <w:tcPr>
            <w:tcW w:w="6071" w:type="dxa"/>
            <w:tcBorders>
              <w:top w:val="single" w:color="000000" w:sz="4" w:space="0"/>
              <w:left w:val="single" w:color="000000" w:sz="4" w:space="0"/>
              <w:bottom w:val="single" w:color="000000" w:sz="4" w:space="0"/>
              <w:right w:val="single" w:color="000000" w:sz="4" w:space="0"/>
            </w:tcBorders>
            <w:vAlign w:val="center"/>
          </w:tcPr>
          <w:p w14:paraId="6D61CBA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非现场监管报表（G21、G22、G2501）以及系统重要性银行表8附表等均需相应改造，确保可将FTU全部业务数据取到对应机构，同时全行业务不重不漏。</w:t>
            </w:r>
          </w:p>
        </w:tc>
      </w:tr>
      <w:tr w14:paraId="6F796458">
        <w:tblPrEx>
          <w:tblCellMar>
            <w:top w:w="0" w:type="dxa"/>
            <w:left w:w="108" w:type="dxa"/>
            <w:bottom w:w="0" w:type="dxa"/>
            <w:right w:w="108" w:type="dxa"/>
          </w:tblCellMar>
        </w:tblPrEx>
        <w:trPr>
          <w:trHeight w:val="158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7C8291BF">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381E4F36">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EAST迎检-贸易金融部关于EAST电子商业汇票相关报送规则优化需求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7DD1AA26">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优化EAST票据转贴现表及EAST出票信息表取数范围；EAST票据贴现表、出票信息表中取数逻辑优化；调整保函与信用证表部分字段取数逻辑；对公信贷业务借据表，涉及转贴现、贴现的部分字段需要满足报送要求。</w:t>
            </w:r>
          </w:p>
        </w:tc>
      </w:tr>
      <w:tr w14:paraId="3CF80882">
        <w:tblPrEx>
          <w:tblCellMar>
            <w:top w:w="0" w:type="dxa"/>
            <w:left w:w="108" w:type="dxa"/>
            <w:bottom w:w="0" w:type="dxa"/>
            <w:right w:w="108" w:type="dxa"/>
          </w:tblCellMar>
        </w:tblPrEx>
        <w:trPr>
          <w:trHeight w:val="158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1F0B7D94">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16DD691D">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EAST迎检-财务会计部关于EAST数据质量提升工程校验逻辑及监管通报的优化需求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471648EA">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调整《对公存款分户账》《对公存款分户账明细记录》、《对公信贷分户账明细记录》、《内部分户账明细记录》等表部分字段取数逻辑。</w:t>
            </w:r>
          </w:p>
        </w:tc>
      </w:tr>
      <w:tr w14:paraId="435CE7F0">
        <w:tblPrEx>
          <w:tblCellMar>
            <w:top w:w="0" w:type="dxa"/>
            <w:left w:w="108" w:type="dxa"/>
            <w:bottom w:w="0" w:type="dxa"/>
            <w:right w:w="108" w:type="dxa"/>
          </w:tblCellMar>
        </w:tblPrEx>
        <w:trPr>
          <w:trHeight w:val="132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126B325B">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35777958">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EAST迎检-内控合规部关于EAST《股东及关联方信息表》取数规则优化需求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4376E5DB">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调整《股东及关联方信息表》中7个数据项。</w:t>
            </w:r>
          </w:p>
        </w:tc>
      </w:tr>
      <w:tr w14:paraId="4852D6CC">
        <w:tblPrEx>
          <w:tblCellMar>
            <w:top w:w="0" w:type="dxa"/>
            <w:left w:w="108" w:type="dxa"/>
            <w:bottom w:w="0" w:type="dxa"/>
            <w:right w:w="108" w:type="dxa"/>
          </w:tblCellMar>
        </w:tblPrEx>
        <w:trPr>
          <w:trHeight w:val="98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5E3AB2CF">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0CEA9A20">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EAST迎检-中国进出口银行监管应用系统业务需求书-贸易金融部</w:t>
            </w:r>
          </w:p>
        </w:tc>
        <w:tc>
          <w:tcPr>
            <w:tcW w:w="6071" w:type="dxa"/>
            <w:tcBorders>
              <w:top w:val="single" w:color="000000" w:sz="4" w:space="0"/>
              <w:left w:val="single" w:color="000000" w:sz="4" w:space="0"/>
              <w:bottom w:val="single" w:color="000000" w:sz="4" w:space="0"/>
              <w:right w:val="single" w:color="000000" w:sz="4" w:space="0"/>
            </w:tcBorders>
            <w:vAlign w:val="center"/>
          </w:tcPr>
          <w:p w14:paraId="1F2778D2">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调整《对公信贷业务借据表》相关字段取数逻辑</w:t>
            </w:r>
          </w:p>
        </w:tc>
      </w:tr>
      <w:tr w14:paraId="46BFAD70">
        <w:tblPrEx>
          <w:tblCellMar>
            <w:top w:w="0" w:type="dxa"/>
            <w:left w:w="108" w:type="dxa"/>
            <w:bottom w:w="0" w:type="dxa"/>
            <w:right w:w="108" w:type="dxa"/>
          </w:tblCellMar>
        </w:tblPrEx>
        <w:trPr>
          <w:trHeight w:val="86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2D072707">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067105FF">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调整企业集团客户证件维护方式及EAST《关联关系表》取数逻辑</w:t>
            </w:r>
          </w:p>
        </w:tc>
        <w:tc>
          <w:tcPr>
            <w:tcW w:w="6071" w:type="dxa"/>
            <w:tcBorders>
              <w:top w:val="single" w:color="000000" w:sz="4" w:space="0"/>
              <w:left w:val="single" w:color="000000" w:sz="4" w:space="0"/>
              <w:bottom w:val="single" w:color="000000" w:sz="4" w:space="0"/>
              <w:right w:val="single" w:color="000000" w:sz="4" w:space="0"/>
            </w:tcBorders>
            <w:vAlign w:val="center"/>
          </w:tcPr>
          <w:p w14:paraId="38FFC1EF">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调整《关联关系表》相关字段取数逻辑，使《关联关系表》与《对公客户信息表》对应字段取数逻辑应保持一致。</w:t>
            </w:r>
          </w:p>
        </w:tc>
      </w:tr>
      <w:tr w14:paraId="3695437D">
        <w:tblPrEx>
          <w:tblCellMar>
            <w:top w:w="0" w:type="dxa"/>
            <w:left w:w="108" w:type="dxa"/>
            <w:bottom w:w="0" w:type="dxa"/>
            <w:right w:w="108" w:type="dxa"/>
          </w:tblCellMar>
        </w:tblPrEx>
        <w:trPr>
          <w:trHeight w:val="158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426D83B2">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7E620D9D">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EAST迎检-贸易金融部关于EAST《保函与信用证表》取数逻辑调整需求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12B14AF5">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调整EAST《保函与信用证表》中字段取数规则，使其与报送口径和真实业务规则保持一致。</w:t>
            </w:r>
          </w:p>
        </w:tc>
      </w:tr>
      <w:tr w14:paraId="7B7847D5">
        <w:tblPrEx>
          <w:tblCellMar>
            <w:top w:w="0" w:type="dxa"/>
            <w:left w:w="108" w:type="dxa"/>
            <w:bottom w:w="0" w:type="dxa"/>
            <w:right w:w="108" w:type="dxa"/>
          </w:tblCellMar>
        </w:tblPrEx>
        <w:trPr>
          <w:trHeight w:val="840"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174AEBE1">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3047C592">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EAST迎检-调整EAST《关联关系表》担保关系的取数逻辑</w:t>
            </w:r>
          </w:p>
        </w:tc>
        <w:tc>
          <w:tcPr>
            <w:tcW w:w="6071" w:type="dxa"/>
            <w:tcBorders>
              <w:top w:val="single" w:color="000000" w:sz="4" w:space="0"/>
              <w:left w:val="single" w:color="000000" w:sz="4" w:space="0"/>
              <w:bottom w:val="single" w:color="000000" w:sz="4" w:space="0"/>
              <w:right w:val="single" w:color="000000" w:sz="4" w:space="0"/>
            </w:tcBorders>
            <w:vAlign w:val="center"/>
          </w:tcPr>
          <w:p w14:paraId="4C7339AC">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对于最高额担保合同的情景，修改《关联关系表》取数来源。</w:t>
            </w:r>
          </w:p>
        </w:tc>
      </w:tr>
      <w:tr w14:paraId="273BC1D3">
        <w:tblPrEx>
          <w:tblCellMar>
            <w:top w:w="0" w:type="dxa"/>
            <w:left w:w="108" w:type="dxa"/>
            <w:bottom w:w="0" w:type="dxa"/>
            <w:right w:w="108" w:type="dxa"/>
          </w:tblCellMar>
        </w:tblPrEx>
        <w:trPr>
          <w:trHeight w:val="40"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5068BA1A">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5CB85DDF">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EAST迎检-人力资源部关于EAST《员工表》员工状态更新优化需求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27F6197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在数据维护平台员工表中，员工状态增加一个可选择项，在每月报表取值也做相应增加，并在监管应用中转换表里添加此转换。</w:t>
            </w:r>
          </w:p>
        </w:tc>
      </w:tr>
      <w:tr w14:paraId="2869627A">
        <w:tblPrEx>
          <w:tblCellMar>
            <w:top w:w="0" w:type="dxa"/>
            <w:left w:w="108" w:type="dxa"/>
            <w:bottom w:w="0" w:type="dxa"/>
            <w:right w:w="108" w:type="dxa"/>
          </w:tblCellMar>
        </w:tblPrEx>
        <w:trPr>
          <w:trHeight w:val="158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3A877C17">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7AB06049">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EAST迎检-数据服务处EAST数据质量“提升工程”优化需求（第二批）</w:t>
            </w:r>
          </w:p>
        </w:tc>
        <w:tc>
          <w:tcPr>
            <w:tcW w:w="6071" w:type="dxa"/>
            <w:tcBorders>
              <w:top w:val="single" w:color="000000" w:sz="4" w:space="0"/>
              <w:left w:val="single" w:color="000000" w:sz="4" w:space="0"/>
              <w:bottom w:val="single" w:color="000000" w:sz="4" w:space="0"/>
              <w:right w:val="single" w:color="000000" w:sz="4" w:space="0"/>
            </w:tcBorders>
            <w:vAlign w:val="center"/>
          </w:tcPr>
          <w:p w14:paraId="5B6AB9DE">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①EAST与1104比对优化：根据1104报送制度更新，自动刷新EAST与1104比对规则，EAST与1104比对规则计算后，提供明细数据下钻功能，至少可下钻、对比机构级数据。②自设稽核规则：设计采购人自设稽核规则，进一步充实采购人校核规则库。</w:t>
            </w:r>
          </w:p>
        </w:tc>
      </w:tr>
      <w:tr w14:paraId="12B3E46C">
        <w:tblPrEx>
          <w:tblCellMar>
            <w:top w:w="0" w:type="dxa"/>
            <w:left w:w="108" w:type="dxa"/>
            <w:bottom w:w="0" w:type="dxa"/>
            <w:right w:w="108" w:type="dxa"/>
          </w:tblCellMar>
        </w:tblPrEx>
        <w:trPr>
          <w:trHeight w:val="137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6DF39A37">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35701D2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EAST迎检-财务会计部关于《总账会计全科目表》取数口径优化需求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291B2DAC">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调整“报送周期”的分组条件。</w:t>
            </w:r>
          </w:p>
        </w:tc>
      </w:tr>
      <w:tr w14:paraId="31288883">
        <w:tblPrEx>
          <w:tblCellMar>
            <w:top w:w="0" w:type="dxa"/>
            <w:left w:w="108" w:type="dxa"/>
            <w:bottom w:w="0" w:type="dxa"/>
            <w:right w:w="108" w:type="dxa"/>
          </w:tblCellMar>
        </w:tblPrEx>
        <w:trPr>
          <w:trHeight w:val="1081"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1A4EBAE9">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59652E8C">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对EAST对公客户信息表企业分类字段取数逻辑进行优化</w:t>
            </w:r>
          </w:p>
        </w:tc>
        <w:tc>
          <w:tcPr>
            <w:tcW w:w="6071" w:type="dxa"/>
            <w:tcBorders>
              <w:top w:val="single" w:color="000000" w:sz="4" w:space="0"/>
              <w:left w:val="single" w:color="000000" w:sz="4" w:space="0"/>
              <w:bottom w:val="single" w:color="000000" w:sz="4" w:space="0"/>
              <w:right w:val="single" w:color="000000" w:sz="4" w:space="0"/>
            </w:tcBorders>
            <w:vAlign w:val="center"/>
          </w:tcPr>
          <w:p w14:paraId="19B789A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优化EAST对公客户信息表中部分字段取数逻辑。</w:t>
            </w:r>
          </w:p>
        </w:tc>
      </w:tr>
      <w:tr w14:paraId="393AE7C5">
        <w:tblPrEx>
          <w:tblCellMar>
            <w:top w:w="0" w:type="dxa"/>
            <w:left w:w="108" w:type="dxa"/>
            <w:bottom w:w="0" w:type="dxa"/>
            <w:right w:w="108" w:type="dxa"/>
          </w:tblCellMar>
        </w:tblPrEx>
        <w:trPr>
          <w:trHeight w:val="141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7B09CFF2">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427B6642">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EAST迎检-客户服务管理部关于EAST《受托支付信息表》取数口径优化业务需求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130EC8D2">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对EAST《受托支付信息表》取数口径进行进一步优化，以解决报送中存在的有关问题。</w:t>
            </w:r>
          </w:p>
        </w:tc>
      </w:tr>
      <w:tr w14:paraId="28CFAD3D">
        <w:tblPrEx>
          <w:tblCellMar>
            <w:top w:w="0" w:type="dxa"/>
            <w:left w:w="108" w:type="dxa"/>
            <w:bottom w:w="0" w:type="dxa"/>
            <w:right w:w="108" w:type="dxa"/>
          </w:tblCellMar>
        </w:tblPrEx>
        <w:trPr>
          <w:trHeight w:val="1115"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23DA5559">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0A08F693">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EAST迎检-关于修改对公信贷业务借据表部分监管标签的需求书</w:t>
            </w:r>
          </w:p>
        </w:tc>
        <w:tc>
          <w:tcPr>
            <w:tcW w:w="6071" w:type="dxa"/>
            <w:tcBorders>
              <w:top w:val="single" w:color="000000" w:sz="4" w:space="0"/>
              <w:left w:val="single" w:color="000000" w:sz="4" w:space="0"/>
              <w:bottom w:val="single" w:color="000000" w:sz="4" w:space="0"/>
              <w:right w:val="single" w:color="000000" w:sz="4" w:space="0"/>
            </w:tcBorders>
            <w:vAlign w:val="center"/>
          </w:tcPr>
          <w:p w14:paraId="14E82492">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调整《对公信贷业务借据表》中部分字段取数逻辑，以满足监管对涉农口径的最新定义要求和EAST数据与1104数据一致性的要求。</w:t>
            </w:r>
          </w:p>
        </w:tc>
      </w:tr>
      <w:tr w14:paraId="52BEFEB6">
        <w:tblPrEx>
          <w:tblCellMar>
            <w:top w:w="0" w:type="dxa"/>
            <w:left w:w="108" w:type="dxa"/>
            <w:bottom w:w="0" w:type="dxa"/>
            <w:right w:w="108" w:type="dxa"/>
          </w:tblCellMar>
        </w:tblPrEx>
        <w:trPr>
          <w:trHeight w:val="141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4235B97A">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22195FA1">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EAST迎检-信息科技部关于监管数据报送修改留痕业务需求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427662F4">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对目前部分重要报送任务的关键报送内容实现修改留痕，即能够完整记录修改的人员、时间、原因、修改前后结果，并能够对相关修改痕迹进行查询、汇总和导出。</w:t>
            </w:r>
          </w:p>
        </w:tc>
      </w:tr>
      <w:tr w14:paraId="5F93ACB4">
        <w:tblPrEx>
          <w:tblCellMar>
            <w:top w:w="0" w:type="dxa"/>
            <w:left w:w="108" w:type="dxa"/>
            <w:bottom w:w="0" w:type="dxa"/>
            <w:right w:w="108" w:type="dxa"/>
          </w:tblCellMar>
        </w:tblPrEx>
        <w:trPr>
          <w:trHeight w:val="700"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43E5E51">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67B506D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会计档案系统归档需求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26D54A6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实现会计档案相关数据通过接口方式传输至综合档案。</w:t>
            </w:r>
          </w:p>
        </w:tc>
      </w:tr>
      <w:tr w14:paraId="43C63F59">
        <w:tblPrEx>
          <w:tblCellMar>
            <w:top w:w="0" w:type="dxa"/>
            <w:left w:w="108" w:type="dxa"/>
            <w:bottom w:w="0" w:type="dxa"/>
            <w:right w:w="108" w:type="dxa"/>
          </w:tblCellMar>
        </w:tblPrEx>
        <w:trPr>
          <w:trHeight w:val="40"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3F554F15">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46C79C5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国别风险管理系统改造（第一阶段）</w:t>
            </w:r>
          </w:p>
        </w:tc>
        <w:tc>
          <w:tcPr>
            <w:tcW w:w="6071" w:type="dxa"/>
            <w:tcBorders>
              <w:top w:val="single" w:color="000000" w:sz="4" w:space="0"/>
              <w:left w:val="single" w:color="000000" w:sz="4" w:space="0"/>
              <w:bottom w:val="single" w:color="000000" w:sz="4" w:space="0"/>
              <w:right w:val="single" w:color="000000" w:sz="4" w:space="0"/>
            </w:tcBorders>
            <w:vAlign w:val="center"/>
          </w:tcPr>
          <w:p w14:paraId="72C67D6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为对标监管制度，第一阶段改造需求将实现全行境外资产业务T＋1自动统计，生成各类统计报表，方便内部使用及对外报送；国别风险管理工作系统化，在线发布评级结果，共享国别风险评估报告和监测台账。</w:t>
            </w:r>
          </w:p>
        </w:tc>
      </w:tr>
      <w:tr w14:paraId="605C28CE">
        <w:tblPrEx>
          <w:tblCellMar>
            <w:top w:w="0" w:type="dxa"/>
            <w:left w:w="108" w:type="dxa"/>
            <w:bottom w:w="0" w:type="dxa"/>
            <w:right w:w="108" w:type="dxa"/>
          </w:tblCellMar>
        </w:tblPrEx>
        <w:trPr>
          <w:trHeight w:val="141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27790C48">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69D8DC8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国别风险管理系统优化需求第二批</w:t>
            </w:r>
          </w:p>
        </w:tc>
        <w:tc>
          <w:tcPr>
            <w:tcW w:w="6071" w:type="dxa"/>
            <w:tcBorders>
              <w:top w:val="single" w:color="000000" w:sz="4" w:space="0"/>
              <w:left w:val="single" w:color="000000" w:sz="4" w:space="0"/>
              <w:bottom w:val="single" w:color="000000" w:sz="4" w:space="0"/>
              <w:right w:val="single" w:color="000000" w:sz="4" w:space="0"/>
            </w:tcBorders>
            <w:vAlign w:val="center"/>
          </w:tcPr>
          <w:p w14:paraId="3F92087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为对标监管制度，第二阶段改造需求为根据国别风险监管要求，对国别风险管理系统进行第二批优化改造，包括国别风险限额及国别风险准备改造需求。</w:t>
            </w:r>
          </w:p>
        </w:tc>
      </w:tr>
      <w:tr w14:paraId="1C272F18">
        <w:tblPrEx>
          <w:tblCellMar>
            <w:top w:w="0" w:type="dxa"/>
            <w:left w:w="108" w:type="dxa"/>
            <w:bottom w:w="0" w:type="dxa"/>
            <w:right w:w="108" w:type="dxa"/>
          </w:tblCellMar>
        </w:tblPrEx>
        <w:trPr>
          <w:trHeight w:val="158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4A9643AC">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01AEF95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按照监管要求，将系统内旧标识(环境与社会风险分类)界面更新为新标识(环境、社会和治理风险分类)</w:t>
            </w:r>
          </w:p>
        </w:tc>
        <w:tc>
          <w:tcPr>
            <w:tcW w:w="6071" w:type="dxa"/>
            <w:tcBorders>
              <w:top w:val="single" w:color="000000" w:sz="4" w:space="0"/>
              <w:left w:val="single" w:color="000000" w:sz="4" w:space="0"/>
              <w:bottom w:val="single" w:color="000000" w:sz="4" w:space="0"/>
              <w:right w:val="single" w:color="000000" w:sz="4" w:space="0"/>
            </w:tcBorders>
            <w:vAlign w:val="center"/>
          </w:tcPr>
          <w:p w14:paraId="30A0995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按照监管要求，将系统内旧标识(环境与社会风险分类)界面更新为新标识(环境、社会和治理风险分类)</w:t>
            </w:r>
          </w:p>
        </w:tc>
      </w:tr>
      <w:tr w14:paraId="10B011C6">
        <w:tblPrEx>
          <w:tblCellMar>
            <w:top w:w="0" w:type="dxa"/>
            <w:left w:w="108" w:type="dxa"/>
            <w:bottom w:w="0" w:type="dxa"/>
            <w:right w:w="108" w:type="dxa"/>
          </w:tblCellMar>
        </w:tblPrEx>
        <w:trPr>
          <w:trHeight w:val="1105"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264674B3">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77F7CDB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定价模型组件FT账户参数配置及报表业务优化</w:t>
            </w:r>
          </w:p>
        </w:tc>
        <w:tc>
          <w:tcPr>
            <w:tcW w:w="6071" w:type="dxa"/>
            <w:tcBorders>
              <w:top w:val="single" w:color="000000" w:sz="4" w:space="0"/>
              <w:left w:val="single" w:color="000000" w:sz="4" w:space="0"/>
              <w:bottom w:val="single" w:color="000000" w:sz="4" w:space="0"/>
              <w:right w:val="single" w:color="000000" w:sz="4" w:space="0"/>
            </w:tcBorders>
            <w:vAlign w:val="center"/>
          </w:tcPr>
          <w:p w14:paraId="789BEBC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针对FT账户相关业务设置差异化利率定价成本，并区分逐笔明细展示</w:t>
            </w:r>
          </w:p>
        </w:tc>
      </w:tr>
      <w:tr w14:paraId="79F597A3">
        <w:tblPrEx>
          <w:tblCellMar>
            <w:top w:w="0" w:type="dxa"/>
            <w:left w:w="108" w:type="dxa"/>
            <w:bottom w:w="0" w:type="dxa"/>
            <w:right w:w="108"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4DA6977F">
            <w:pPr>
              <w:widowControl/>
              <w:numPr>
                <w:ilvl w:val="0"/>
                <w:numId w:val="4"/>
              </w:numPr>
              <w:ind w:left="0" w:firstLine="0"/>
              <w:jc w:val="center"/>
              <w:textAlignment w:val="center"/>
              <w:rPr>
                <w:rFonts w:hint="eastAsia" w:ascii="宋体" w:hAnsi="宋体" w:cs="仿宋_GB2312"/>
                <w:color w:val="000000"/>
                <w:kern w:val="0"/>
                <w:sz w:val="24"/>
                <w:lang w:bidi="ar"/>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0B0EB05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估值引擎配合FT账户申办改造</w:t>
            </w:r>
          </w:p>
        </w:tc>
        <w:tc>
          <w:tcPr>
            <w:tcW w:w="6071" w:type="dxa"/>
            <w:tcBorders>
              <w:top w:val="single" w:color="000000" w:sz="4" w:space="0"/>
              <w:left w:val="single" w:color="000000" w:sz="4" w:space="0"/>
              <w:bottom w:val="single" w:color="000000" w:sz="4" w:space="0"/>
              <w:right w:val="single" w:color="000000" w:sz="4" w:space="0"/>
            </w:tcBorders>
            <w:vAlign w:val="center"/>
          </w:tcPr>
          <w:p w14:paraId="4D8ECA5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为满足采购人自贸账户业务的顺利开展和风险管控，估值引擎需配置相应曲线以实现对涉及CNH币种的金融市场业务开展估值。</w:t>
            </w:r>
          </w:p>
        </w:tc>
      </w:tr>
      <w:tr w14:paraId="4D442C72">
        <w:tblPrEx>
          <w:tblCellMar>
            <w:top w:w="0" w:type="dxa"/>
            <w:left w:w="108" w:type="dxa"/>
            <w:bottom w:w="0" w:type="dxa"/>
            <w:right w:w="108" w:type="dxa"/>
          </w:tblCellMar>
        </w:tblPrEx>
        <w:trPr>
          <w:trHeight w:val="1587"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5DC74A37">
            <w:pPr>
              <w:widowControl/>
              <w:numPr>
                <w:ilvl w:val="0"/>
                <w:numId w:val="4"/>
              </w:numPr>
              <w:ind w:left="0" w:firstLine="0"/>
              <w:jc w:val="center"/>
              <w:textAlignment w:val="center"/>
              <w:rPr>
                <w:rFonts w:hint="eastAsia" w:ascii="宋体" w:hAnsi="宋体" w:cs="仿宋_GB2312"/>
                <w:color w:val="000000"/>
                <w:sz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14:paraId="4176FF8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深圳分行单一窗口需求</w:t>
            </w:r>
          </w:p>
        </w:tc>
        <w:tc>
          <w:tcPr>
            <w:tcW w:w="6071" w:type="dxa"/>
            <w:tcBorders>
              <w:top w:val="single" w:color="000000" w:sz="4" w:space="0"/>
              <w:left w:val="single" w:color="000000" w:sz="4" w:space="0"/>
              <w:bottom w:val="single" w:color="000000" w:sz="4" w:space="0"/>
              <w:right w:val="single" w:color="000000" w:sz="4" w:space="0"/>
            </w:tcBorders>
            <w:vAlign w:val="center"/>
          </w:tcPr>
          <w:p w14:paraId="0D353523">
            <w:pPr>
              <w:widowControl/>
              <w:textAlignment w:val="center"/>
              <w:rPr>
                <w:rFonts w:hint="eastAsia" w:ascii="宋体" w:hAnsi="宋体" w:cs="仿宋_GB2312"/>
                <w:color w:val="000000"/>
                <w:sz w:val="24"/>
              </w:rPr>
            </w:pPr>
            <w:r>
              <w:rPr>
                <w:rFonts w:hint="eastAsia" w:ascii="宋体" w:hAnsi="宋体" w:cs="仿宋_GB2312"/>
                <w:color w:val="000000"/>
                <w:sz w:val="24"/>
              </w:rPr>
              <w:t>通过与深圳单一窗口系统对接，在客户主动授权的情况下，依据单一窗口数据（底层数据来源于海关总署），获取客户相关口径的进出口数据，在授信审批项目受理等环节，作为授信审批辅助依据，有利于客户经理更加准确的掌握企业的进出口总量、海关评级和对应国别，从而更加科学的提供授信额度，达到有效的控制授信风险的目标。</w:t>
            </w:r>
          </w:p>
        </w:tc>
      </w:tr>
    </w:tbl>
    <w:p w14:paraId="4B69FC1D">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bookmarkStart w:id="7" w:name="_Toc12821"/>
      <w:r>
        <w:rPr>
          <w:rFonts w:hint="eastAsia" w:ascii="宋体" w:hAnsi="宋体"/>
          <w:b/>
          <w:bCs/>
          <w:sz w:val="24"/>
        </w:rPr>
        <w:t>技术要求</w:t>
      </w:r>
      <w:bookmarkEnd w:id="7"/>
    </w:p>
    <w:p w14:paraId="3BF9B130">
      <w:pPr>
        <w:spacing w:line="360" w:lineRule="auto"/>
        <w:ind w:firstLine="480" w:firstLineChars="200"/>
        <w:rPr>
          <w:rFonts w:hint="eastAsia" w:ascii="宋体" w:hAnsi="宋体" w:cs="仿宋_GB2312"/>
          <w:sz w:val="24"/>
        </w:rPr>
      </w:pPr>
      <w:r>
        <w:rPr>
          <w:rFonts w:hint="eastAsia" w:ascii="宋体" w:hAnsi="宋体" w:cs="仿宋_GB2312"/>
          <w:sz w:val="24"/>
        </w:rPr>
        <w:t>在保持现有系统整体架构和稳定运行的基础上，对各需求进行合理架构初分，各物理子系统按照涉及需求的关联依赖情况，科学设计系统功能改造方案，确定实施计划安排，确保系统功能切分清晰，底层逻辑准确，业务流程顺畅。</w:t>
      </w:r>
    </w:p>
    <w:p w14:paraId="750F514E">
      <w:pPr>
        <w:spacing w:line="360" w:lineRule="auto"/>
        <w:ind w:firstLine="480" w:firstLineChars="200"/>
        <w:rPr>
          <w:rFonts w:hint="eastAsia" w:ascii="宋体" w:hAnsi="宋体" w:cs="仿宋_GB2312"/>
          <w:sz w:val="24"/>
        </w:rPr>
      </w:pPr>
      <w:r>
        <w:rPr>
          <w:rFonts w:hint="eastAsia" w:ascii="宋体" w:hAnsi="宋体" w:cs="仿宋_GB2312"/>
          <w:sz w:val="24"/>
        </w:rPr>
        <w:t>本项目全部需求实现涉及系统包括但不限于下表所列物理子系统。</w:t>
      </w:r>
    </w:p>
    <w:tbl>
      <w:tblPr>
        <w:tblStyle w:val="4"/>
        <w:tblW w:w="874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8"/>
        <w:gridCol w:w="1985"/>
        <w:gridCol w:w="1337"/>
        <w:gridCol w:w="1644"/>
        <w:gridCol w:w="1644"/>
        <w:gridCol w:w="1644"/>
      </w:tblGrid>
      <w:tr w14:paraId="38CC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blHeader/>
        </w:trPr>
        <w:tc>
          <w:tcPr>
            <w:tcW w:w="488" w:type="dxa"/>
            <w:tcBorders>
              <w:tl2br w:val="nil"/>
              <w:tr2bl w:val="nil"/>
            </w:tcBorders>
            <w:vAlign w:val="center"/>
          </w:tcPr>
          <w:p w14:paraId="67AF197D">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序号</w:t>
            </w:r>
          </w:p>
        </w:tc>
        <w:tc>
          <w:tcPr>
            <w:tcW w:w="1985" w:type="dxa"/>
            <w:tcBorders>
              <w:tl2br w:val="nil"/>
              <w:tr2bl w:val="nil"/>
            </w:tcBorders>
            <w:vAlign w:val="center"/>
          </w:tcPr>
          <w:p w14:paraId="4371CFDD">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需求简称</w:t>
            </w:r>
          </w:p>
        </w:tc>
        <w:tc>
          <w:tcPr>
            <w:tcW w:w="1337" w:type="dxa"/>
            <w:tcBorders>
              <w:tl2br w:val="nil"/>
              <w:tr2bl w:val="nil"/>
            </w:tcBorders>
            <w:vAlign w:val="center"/>
          </w:tcPr>
          <w:p w14:paraId="00402A01">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主牵物理系统</w:t>
            </w:r>
          </w:p>
        </w:tc>
        <w:tc>
          <w:tcPr>
            <w:tcW w:w="1644" w:type="dxa"/>
            <w:tcBorders>
              <w:tl2br w:val="nil"/>
              <w:tr2bl w:val="nil"/>
            </w:tcBorders>
            <w:vAlign w:val="center"/>
          </w:tcPr>
          <w:p w14:paraId="38981E3D">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配合改造物理系统</w:t>
            </w:r>
          </w:p>
        </w:tc>
        <w:tc>
          <w:tcPr>
            <w:tcW w:w="1644" w:type="dxa"/>
            <w:tcBorders>
              <w:tl2br w:val="nil"/>
              <w:tr2bl w:val="nil"/>
            </w:tcBorders>
            <w:vAlign w:val="center"/>
          </w:tcPr>
          <w:p w14:paraId="3ECCD4A4">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仅配合配置物理系统</w:t>
            </w:r>
          </w:p>
        </w:tc>
        <w:tc>
          <w:tcPr>
            <w:tcW w:w="1644" w:type="dxa"/>
            <w:tcBorders>
              <w:tl2br w:val="nil"/>
              <w:tr2bl w:val="nil"/>
            </w:tcBorders>
            <w:vAlign w:val="center"/>
          </w:tcPr>
          <w:p w14:paraId="53066E92">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仅配合测试物理系统</w:t>
            </w:r>
          </w:p>
        </w:tc>
      </w:tr>
      <w:tr w14:paraId="4BC8D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1F00E10B">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7FC622F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征信报送系统数据治理优化业务需求书</w:t>
            </w:r>
          </w:p>
        </w:tc>
        <w:tc>
          <w:tcPr>
            <w:tcW w:w="1337" w:type="dxa"/>
            <w:tcBorders>
              <w:tl2br w:val="nil"/>
              <w:tr2bl w:val="nil"/>
            </w:tcBorders>
            <w:vAlign w:val="center"/>
          </w:tcPr>
          <w:p w14:paraId="6F38FC0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新一代征信系统</w:t>
            </w:r>
          </w:p>
        </w:tc>
        <w:tc>
          <w:tcPr>
            <w:tcW w:w="1644" w:type="dxa"/>
            <w:tcBorders>
              <w:tl2br w:val="nil"/>
              <w:tr2bl w:val="nil"/>
            </w:tcBorders>
            <w:vAlign w:val="center"/>
          </w:tcPr>
          <w:p w14:paraId="78299AB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6F2065C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8ED1EF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653B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740A5530">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4B72FED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新一代征信系统-港澳居民来往内地通行证（非中国籍）证件信息相关优化</w:t>
            </w:r>
          </w:p>
        </w:tc>
        <w:tc>
          <w:tcPr>
            <w:tcW w:w="1337" w:type="dxa"/>
            <w:tcBorders>
              <w:tl2br w:val="nil"/>
              <w:tr2bl w:val="nil"/>
            </w:tcBorders>
            <w:vAlign w:val="center"/>
          </w:tcPr>
          <w:p w14:paraId="15A8117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新一代征信系统</w:t>
            </w:r>
          </w:p>
        </w:tc>
        <w:tc>
          <w:tcPr>
            <w:tcW w:w="1644" w:type="dxa"/>
            <w:tcBorders>
              <w:tl2br w:val="nil"/>
              <w:tr2bl w:val="nil"/>
            </w:tcBorders>
            <w:vAlign w:val="center"/>
          </w:tcPr>
          <w:p w14:paraId="6BB2F05F">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ABC6D2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9B4B97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73BED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31AF9E48">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39580D8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FAL业务需求书</w:t>
            </w:r>
          </w:p>
        </w:tc>
        <w:tc>
          <w:tcPr>
            <w:tcW w:w="1337" w:type="dxa"/>
            <w:tcBorders>
              <w:tl2br w:val="nil"/>
              <w:tr2bl w:val="nil"/>
            </w:tcBorders>
            <w:vAlign w:val="center"/>
          </w:tcPr>
          <w:p w14:paraId="020B673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外汇业务管理信息</w:t>
            </w:r>
          </w:p>
        </w:tc>
        <w:tc>
          <w:tcPr>
            <w:tcW w:w="1644" w:type="dxa"/>
            <w:tcBorders>
              <w:tl2br w:val="nil"/>
              <w:tr2bl w:val="nil"/>
            </w:tcBorders>
            <w:vAlign w:val="center"/>
          </w:tcPr>
          <w:p w14:paraId="0A8419F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08E45F1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C21B23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贷款，投资组合与资金交易</w:t>
            </w:r>
          </w:p>
        </w:tc>
      </w:tr>
      <w:tr w14:paraId="2679C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7C7DA89C">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7BBA701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客户服务部新增银团贷款报表需求</w:t>
            </w:r>
          </w:p>
        </w:tc>
        <w:tc>
          <w:tcPr>
            <w:tcW w:w="1337" w:type="dxa"/>
            <w:tcBorders>
              <w:tl2br w:val="nil"/>
              <w:tr2bl w:val="nil"/>
            </w:tcBorders>
            <w:vAlign w:val="center"/>
          </w:tcPr>
          <w:p w14:paraId="3A6A1EB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428DA3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E47A53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D998B1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合约管理，贷款，客户结算</w:t>
            </w:r>
          </w:p>
        </w:tc>
      </w:tr>
      <w:tr w14:paraId="1C82E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296F4F19">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2E3A2D5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优化主权债务统计平台报表需求</w:t>
            </w:r>
          </w:p>
        </w:tc>
        <w:tc>
          <w:tcPr>
            <w:tcW w:w="1337" w:type="dxa"/>
            <w:tcBorders>
              <w:tl2br w:val="nil"/>
              <w:tr2bl w:val="nil"/>
            </w:tcBorders>
            <w:vAlign w:val="center"/>
          </w:tcPr>
          <w:p w14:paraId="08EAA32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2C82A1C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2A85447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55A0FFD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贷款</w:t>
            </w:r>
          </w:p>
        </w:tc>
      </w:tr>
      <w:tr w14:paraId="51EB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8" w:hRule="atLeast"/>
        </w:trPr>
        <w:tc>
          <w:tcPr>
            <w:tcW w:w="488" w:type="dxa"/>
            <w:tcBorders>
              <w:tl2br w:val="nil"/>
              <w:tr2bl w:val="nil"/>
            </w:tcBorders>
            <w:vAlign w:val="center"/>
          </w:tcPr>
          <w:p w14:paraId="65BDF346">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432AA32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监管应用人行报送优化业务需求</w:t>
            </w:r>
          </w:p>
        </w:tc>
        <w:tc>
          <w:tcPr>
            <w:tcW w:w="1337" w:type="dxa"/>
            <w:tcBorders>
              <w:tl2br w:val="nil"/>
              <w:tr2bl w:val="nil"/>
            </w:tcBorders>
            <w:vAlign w:val="center"/>
          </w:tcPr>
          <w:p w14:paraId="55C1665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777FA4F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6E7982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2DC3F71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379F2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488" w:type="dxa"/>
            <w:tcBorders>
              <w:tl2br w:val="nil"/>
              <w:tr2bl w:val="nil"/>
            </w:tcBorders>
            <w:vAlign w:val="center"/>
          </w:tcPr>
          <w:p w14:paraId="3FFBA0C9">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3354162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人行数据大集中报送（PBOC）在相关报表增设户数指标业务需求书</w:t>
            </w:r>
          </w:p>
        </w:tc>
        <w:tc>
          <w:tcPr>
            <w:tcW w:w="1337" w:type="dxa"/>
            <w:tcBorders>
              <w:tl2br w:val="nil"/>
              <w:tr2bl w:val="nil"/>
            </w:tcBorders>
            <w:vAlign w:val="center"/>
          </w:tcPr>
          <w:p w14:paraId="3BE3064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0F73998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60D6509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8DED50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04E2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6E9D302B">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1F4DCA3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监管应用-利率报备</w:t>
            </w:r>
          </w:p>
        </w:tc>
        <w:tc>
          <w:tcPr>
            <w:tcW w:w="1337" w:type="dxa"/>
            <w:tcBorders>
              <w:tl2br w:val="nil"/>
              <w:tr2bl w:val="nil"/>
            </w:tcBorders>
            <w:vAlign w:val="center"/>
          </w:tcPr>
          <w:p w14:paraId="0653B61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547C56F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121CCD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8BC8FB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6BD9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06001533">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4C3A09F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外汇业务管理信息系统新增“对外担保签约信息”报表机采功能需求书</w:t>
            </w:r>
          </w:p>
        </w:tc>
        <w:tc>
          <w:tcPr>
            <w:tcW w:w="1337" w:type="dxa"/>
            <w:tcBorders>
              <w:tl2br w:val="nil"/>
              <w:tr2bl w:val="nil"/>
            </w:tcBorders>
            <w:vAlign w:val="center"/>
          </w:tcPr>
          <w:p w14:paraId="699C0FC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外汇业务管理信息</w:t>
            </w:r>
          </w:p>
        </w:tc>
        <w:tc>
          <w:tcPr>
            <w:tcW w:w="1644" w:type="dxa"/>
            <w:tcBorders>
              <w:tl2br w:val="nil"/>
              <w:tr2bl w:val="nil"/>
            </w:tcBorders>
            <w:vAlign w:val="center"/>
          </w:tcPr>
          <w:p w14:paraId="231746F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支付结算-国际结算组件</w:t>
            </w:r>
          </w:p>
        </w:tc>
        <w:tc>
          <w:tcPr>
            <w:tcW w:w="1644" w:type="dxa"/>
            <w:tcBorders>
              <w:tl2br w:val="nil"/>
              <w:tr2bl w:val="nil"/>
            </w:tcBorders>
            <w:vAlign w:val="center"/>
          </w:tcPr>
          <w:p w14:paraId="4F09AE7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17620E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53994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09A3CC41">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6BDF922F">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调整个别长端基差掉期数据源并安排紧急版本上线</w:t>
            </w:r>
          </w:p>
        </w:tc>
        <w:tc>
          <w:tcPr>
            <w:tcW w:w="1337" w:type="dxa"/>
            <w:tcBorders>
              <w:tl2br w:val="nil"/>
              <w:tr2bl w:val="nil"/>
            </w:tcBorders>
            <w:vAlign w:val="center"/>
          </w:tcPr>
          <w:p w14:paraId="7AF7F43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5616FA6">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金融市场投资组合与资金交易定报价平台，估值</w:t>
            </w:r>
          </w:p>
        </w:tc>
        <w:tc>
          <w:tcPr>
            <w:tcW w:w="1644" w:type="dxa"/>
            <w:tcBorders>
              <w:tl2br w:val="nil"/>
              <w:tr2bl w:val="nil"/>
            </w:tcBorders>
            <w:vAlign w:val="center"/>
          </w:tcPr>
          <w:p w14:paraId="560502A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943A83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定价管理-计算引擎-OLTP</w:t>
            </w:r>
          </w:p>
        </w:tc>
      </w:tr>
      <w:tr w14:paraId="3065E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3A4E88F0">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71E8253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国家金融监管总局1104报送2025年分类分账需求（季报部分）投管部字段取数调整</w:t>
            </w:r>
          </w:p>
        </w:tc>
        <w:tc>
          <w:tcPr>
            <w:tcW w:w="1337" w:type="dxa"/>
            <w:tcBorders>
              <w:tl2br w:val="nil"/>
              <w:tr2bl w:val="nil"/>
            </w:tcBorders>
            <w:vAlign w:val="center"/>
          </w:tcPr>
          <w:p w14:paraId="71E9B55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2DDF4B6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6A5BDB0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60EE48A6">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737B6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51A12018">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2D590D7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自由贸易账户系统建设业务行内统计和监管报送需求(数据中心)</w:t>
            </w:r>
          </w:p>
        </w:tc>
        <w:tc>
          <w:tcPr>
            <w:tcW w:w="1337" w:type="dxa"/>
            <w:tcBorders>
              <w:tl2br w:val="nil"/>
              <w:tr2bl w:val="nil"/>
            </w:tcBorders>
            <w:vAlign w:val="center"/>
          </w:tcPr>
          <w:p w14:paraId="4C66526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0C74919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外汇业务管理信息</w:t>
            </w:r>
          </w:p>
        </w:tc>
        <w:tc>
          <w:tcPr>
            <w:tcW w:w="1644" w:type="dxa"/>
            <w:tcBorders>
              <w:tl2br w:val="nil"/>
              <w:tr2bl w:val="nil"/>
            </w:tcBorders>
            <w:vAlign w:val="center"/>
          </w:tcPr>
          <w:p w14:paraId="6F02029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B2AC95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存款，财务会计-非引擎</w:t>
            </w:r>
          </w:p>
        </w:tc>
      </w:tr>
      <w:tr w14:paraId="4BBF3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5F64DD94">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3B954F6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自由贸易账户系统建设业务行内统计和监管报送需求(资负部)</w:t>
            </w:r>
          </w:p>
        </w:tc>
        <w:tc>
          <w:tcPr>
            <w:tcW w:w="1337" w:type="dxa"/>
            <w:tcBorders>
              <w:tl2br w:val="nil"/>
              <w:tr2bl w:val="nil"/>
            </w:tcBorders>
            <w:vAlign w:val="center"/>
          </w:tcPr>
          <w:p w14:paraId="6A141E0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20D1A75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260CE36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577C0456">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贷款，存款</w:t>
            </w:r>
          </w:p>
        </w:tc>
      </w:tr>
      <w:tr w14:paraId="51123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0220D4EA">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4094D05A">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EAST迎检-贸易金融部关于EAST电子商业汇票相关报送规则优化需求</w:t>
            </w:r>
          </w:p>
        </w:tc>
        <w:tc>
          <w:tcPr>
            <w:tcW w:w="1337" w:type="dxa"/>
            <w:tcBorders>
              <w:tl2br w:val="nil"/>
              <w:tr2bl w:val="nil"/>
            </w:tcBorders>
            <w:vAlign w:val="center"/>
          </w:tcPr>
          <w:p w14:paraId="2809E125">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1E0F07C2">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1A9639C">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A5F321D">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票交所直连，贷款，P6-支付结算</w:t>
            </w:r>
          </w:p>
        </w:tc>
      </w:tr>
      <w:tr w14:paraId="2C219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441072DB">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46130CC8">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EAST迎检-财务会计部关于EAST数据质量提升工程校验逻辑及监管通报的优化需求</w:t>
            </w:r>
          </w:p>
        </w:tc>
        <w:tc>
          <w:tcPr>
            <w:tcW w:w="1337" w:type="dxa"/>
            <w:tcBorders>
              <w:tl2br w:val="nil"/>
              <w:tr2bl w:val="nil"/>
            </w:tcBorders>
            <w:vAlign w:val="center"/>
          </w:tcPr>
          <w:p w14:paraId="63DE2A99">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5D151688">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0D0E4F4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9041189">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存款，贷款，财务会计-中收计量内部帐</w:t>
            </w:r>
          </w:p>
        </w:tc>
      </w:tr>
      <w:tr w14:paraId="1584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20BEAD85">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4E139A7C">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EAST迎检-内控合规部关于EAST《股东及关联方信息表》取数规则优化需求</w:t>
            </w:r>
          </w:p>
        </w:tc>
        <w:tc>
          <w:tcPr>
            <w:tcW w:w="1337" w:type="dxa"/>
            <w:tcBorders>
              <w:tl2br w:val="nil"/>
              <w:tr2bl w:val="nil"/>
            </w:tcBorders>
            <w:vAlign w:val="center"/>
          </w:tcPr>
          <w:p w14:paraId="611A78B6">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4F95CD03">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关联交易管理</w:t>
            </w:r>
          </w:p>
        </w:tc>
        <w:tc>
          <w:tcPr>
            <w:tcW w:w="1644" w:type="dxa"/>
            <w:tcBorders>
              <w:tl2br w:val="nil"/>
              <w:tr2bl w:val="nil"/>
            </w:tcBorders>
            <w:vAlign w:val="center"/>
          </w:tcPr>
          <w:p w14:paraId="40E6BF56">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6F471883">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r>
      <w:tr w14:paraId="5A1F9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0E3F777C">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33D77F6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EAST迎检-中国进出口银行监管应用系统业务需求书-贸易金融部</w:t>
            </w:r>
          </w:p>
        </w:tc>
        <w:tc>
          <w:tcPr>
            <w:tcW w:w="1337" w:type="dxa"/>
            <w:tcBorders>
              <w:tl2br w:val="nil"/>
              <w:tr2bl w:val="nil"/>
            </w:tcBorders>
            <w:vAlign w:val="center"/>
          </w:tcPr>
          <w:p w14:paraId="6D3F6476">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33FDFF19">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230423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0069138C">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贷款，支付结算组件-支付，存款</w:t>
            </w:r>
          </w:p>
        </w:tc>
      </w:tr>
      <w:tr w14:paraId="7434F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087D183F">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4217E7C0">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调整企业集团客户证件维护方式及EAST《关联关系表》取数逻辑</w:t>
            </w:r>
          </w:p>
        </w:tc>
        <w:tc>
          <w:tcPr>
            <w:tcW w:w="1337" w:type="dxa"/>
            <w:tcBorders>
              <w:tl2br w:val="nil"/>
              <w:tr2bl w:val="nil"/>
            </w:tcBorders>
            <w:vAlign w:val="center"/>
          </w:tcPr>
          <w:p w14:paraId="2A2299CD">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0C731A4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员工渠道整合平台</w:t>
            </w:r>
          </w:p>
        </w:tc>
        <w:tc>
          <w:tcPr>
            <w:tcW w:w="1644" w:type="dxa"/>
            <w:tcBorders>
              <w:tl2br w:val="nil"/>
              <w:tr2bl w:val="nil"/>
            </w:tcBorders>
            <w:vAlign w:val="center"/>
          </w:tcPr>
          <w:p w14:paraId="36C3D03D">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11881B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r>
      <w:tr w14:paraId="5F75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2FD634CE">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47B4A06C">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EAST迎检-贸易金融部关于EAST《保函与信用证表》取数逻辑调整需求</w:t>
            </w:r>
          </w:p>
        </w:tc>
        <w:tc>
          <w:tcPr>
            <w:tcW w:w="1337" w:type="dxa"/>
            <w:tcBorders>
              <w:tl2br w:val="nil"/>
              <w:tr2bl w:val="nil"/>
            </w:tcBorders>
            <w:vAlign w:val="center"/>
          </w:tcPr>
          <w:p w14:paraId="777B240D">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4A22F83D">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A9A1D31">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55EC342">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支付结算-国际结算组件</w:t>
            </w:r>
          </w:p>
        </w:tc>
      </w:tr>
      <w:tr w14:paraId="2CD7C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3AFDBD11">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334B081F">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EAST迎检-调整EAST《关联关系表》担保关系的取数逻辑</w:t>
            </w:r>
          </w:p>
        </w:tc>
        <w:tc>
          <w:tcPr>
            <w:tcW w:w="1337" w:type="dxa"/>
            <w:tcBorders>
              <w:tl2br w:val="nil"/>
              <w:tr2bl w:val="nil"/>
            </w:tcBorders>
            <w:vAlign w:val="center"/>
          </w:tcPr>
          <w:p w14:paraId="60836A05">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2C873D13">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5B3ED406">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458C705">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r>
      <w:tr w14:paraId="0B0F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488" w:type="dxa"/>
            <w:tcBorders>
              <w:tl2br w:val="nil"/>
              <w:tr2bl w:val="nil"/>
            </w:tcBorders>
            <w:vAlign w:val="center"/>
          </w:tcPr>
          <w:p w14:paraId="6BF9B16C">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65187FCE">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EAST迎检-人力资源部关于EAST《员工表》员工状态更新优化需求</w:t>
            </w:r>
          </w:p>
        </w:tc>
        <w:tc>
          <w:tcPr>
            <w:tcW w:w="1337" w:type="dxa"/>
            <w:tcBorders>
              <w:tl2br w:val="nil"/>
              <w:tr2bl w:val="nil"/>
            </w:tcBorders>
            <w:vAlign w:val="center"/>
          </w:tcPr>
          <w:p w14:paraId="77EC0089">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33DD8DE4">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55994310">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3AE917B">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r>
      <w:tr w14:paraId="0111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7FC0969C">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1A5EE6BF">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EAST迎检-数据服务处EAST数据质量“提升工程”优化需求（第二批）</w:t>
            </w:r>
          </w:p>
        </w:tc>
        <w:tc>
          <w:tcPr>
            <w:tcW w:w="1337" w:type="dxa"/>
            <w:tcBorders>
              <w:tl2br w:val="nil"/>
              <w:tr2bl w:val="nil"/>
            </w:tcBorders>
            <w:vAlign w:val="center"/>
          </w:tcPr>
          <w:p w14:paraId="45C6DB78">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8DE5944">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05137B45">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576CB964">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r>
      <w:tr w14:paraId="06AC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488" w:type="dxa"/>
            <w:tcBorders>
              <w:tl2br w:val="nil"/>
              <w:tr2bl w:val="nil"/>
            </w:tcBorders>
            <w:vAlign w:val="center"/>
          </w:tcPr>
          <w:p w14:paraId="0856063C">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6739D2E9">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EAST迎检-财务会计部关于《总账会计全科目表》取数口径优化需求</w:t>
            </w:r>
          </w:p>
        </w:tc>
        <w:tc>
          <w:tcPr>
            <w:tcW w:w="1337" w:type="dxa"/>
            <w:tcBorders>
              <w:tl2br w:val="nil"/>
              <w:tr2bl w:val="nil"/>
            </w:tcBorders>
            <w:vAlign w:val="center"/>
          </w:tcPr>
          <w:p w14:paraId="305D12F1">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7DAC850F">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5E7984A9">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6E33D1B">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r>
      <w:tr w14:paraId="05F0B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13C8D076">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19F20CF2">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对EAST对公客户信息表企业分类字段取数逻辑进行优化</w:t>
            </w:r>
          </w:p>
        </w:tc>
        <w:tc>
          <w:tcPr>
            <w:tcW w:w="1337" w:type="dxa"/>
            <w:tcBorders>
              <w:tl2br w:val="nil"/>
              <w:tr2bl w:val="nil"/>
            </w:tcBorders>
            <w:vAlign w:val="center"/>
          </w:tcPr>
          <w:p w14:paraId="75E75DBA">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4803A32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E96EF4D">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0F67388A">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r>
      <w:tr w14:paraId="2CCF4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7ED9A9AB">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7F4F0253">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EAST迎检-客户服务管理部关于EAST《受托支付信息表》取数口径优化业务需求</w:t>
            </w:r>
          </w:p>
        </w:tc>
        <w:tc>
          <w:tcPr>
            <w:tcW w:w="1337" w:type="dxa"/>
            <w:tcBorders>
              <w:tl2br w:val="nil"/>
              <w:tr2bl w:val="nil"/>
            </w:tcBorders>
            <w:vAlign w:val="center"/>
          </w:tcPr>
          <w:p w14:paraId="15191813">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7EBD565B">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0A6EFDF">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5F4D1FF1">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贷款，支付结算组件-支付</w:t>
            </w:r>
          </w:p>
        </w:tc>
      </w:tr>
      <w:tr w14:paraId="61A1A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2752E53B">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3230D8C2">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EAST迎检-关于修改对公信贷业务借据表部分监管标签的需求书</w:t>
            </w:r>
          </w:p>
        </w:tc>
        <w:tc>
          <w:tcPr>
            <w:tcW w:w="1337" w:type="dxa"/>
            <w:tcBorders>
              <w:tl2br w:val="nil"/>
              <w:tr2bl w:val="nil"/>
            </w:tcBorders>
            <w:vAlign w:val="center"/>
          </w:tcPr>
          <w:p w14:paraId="16F85987">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508F5BB8">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26BE8D38">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73C5BFB">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r>
      <w:tr w14:paraId="7F56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1184AD8B">
            <w:pPr>
              <w:widowControl/>
              <w:numPr>
                <w:ilvl w:val="0"/>
                <w:numId w:val="5"/>
              </w:numPr>
              <w:ind w:left="0" w:firstLine="0"/>
              <w:textAlignment w:val="center"/>
              <w:rPr>
                <w:rFonts w:hint="eastAsia" w:ascii="宋体" w:hAnsi="宋体" w:cs="仿宋_GB2312"/>
                <w:color w:val="000000"/>
                <w:kern w:val="0"/>
                <w:sz w:val="24"/>
                <w:lang w:bidi="ar"/>
              </w:rPr>
            </w:pPr>
          </w:p>
        </w:tc>
        <w:tc>
          <w:tcPr>
            <w:tcW w:w="1985" w:type="dxa"/>
            <w:tcBorders>
              <w:tl2br w:val="nil"/>
              <w:tr2bl w:val="nil"/>
            </w:tcBorders>
            <w:vAlign w:val="center"/>
          </w:tcPr>
          <w:p w14:paraId="2A026DC9">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EAST迎检-信息科技部关于监管数据报送修改留痕业务需求</w:t>
            </w:r>
          </w:p>
        </w:tc>
        <w:tc>
          <w:tcPr>
            <w:tcW w:w="1337" w:type="dxa"/>
            <w:tcBorders>
              <w:tl2br w:val="nil"/>
              <w:tr2bl w:val="nil"/>
            </w:tcBorders>
            <w:vAlign w:val="center"/>
          </w:tcPr>
          <w:p w14:paraId="3A3A8C04">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31A40AE">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51303B23">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2598528">
            <w:pPr>
              <w:widowControl/>
              <w:textAlignment w:val="center"/>
              <w:rPr>
                <w:rFonts w:hint="eastAsia" w:ascii="宋体" w:hAnsi="宋体" w:cs="仿宋_GB2312"/>
                <w:color w:val="000000"/>
                <w:kern w:val="0"/>
                <w:sz w:val="24"/>
                <w:lang w:bidi="ar"/>
              </w:rPr>
            </w:pPr>
            <w:r>
              <w:rPr>
                <w:rFonts w:hint="eastAsia" w:ascii="宋体" w:hAnsi="宋体" w:cs="仿宋_GB2312"/>
                <w:color w:val="000000"/>
                <w:kern w:val="0"/>
                <w:sz w:val="24"/>
                <w:lang w:bidi="ar"/>
              </w:rPr>
              <w:t>无</w:t>
            </w:r>
          </w:p>
        </w:tc>
      </w:tr>
      <w:tr w14:paraId="41E05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275894DE">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0C53CAF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进出口银行“单一窗口”业务需求中央版</w:t>
            </w:r>
          </w:p>
        </w:tc>
        <w:tc>
          <w:tcPr>
            <w:tcW w:w="1337" w:type="dxa"/>
            <w:tcBorders>
              <w:tl2br w:val="nil"/>
              <w:tr2bl w:val="nil"/>
            </w:tcBorders>
            <w:vAlign w:val="center"/>
          </w:tcPr>
          <w:p w14:paraId="059E0FB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SWIFT报文服务平台</w:t>
            </w:r>
          </w:p>
        </w:tc>
        <w:tc>
          <w:tcPr>
            <w:tcW w:w="1644" w:type="dxa"/>
            <w:tcBorders>
              <w:tl2br w:val="nil"/>
              <w:tr2bl w:val="nil"/>
            </w:tcBorders>
            <w:vAlign w:val="center"/>
          </w:tcPr>
          <w:p w14:paraId="1BCCC85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外币支付，P5-支付结算领域，管理分析服务-上开组件库，银行核心产品支持领域计算，汇路外币，员工渠道整合平台，电子印章</w:t>
            </w:r>
          </w:p>
        </w:tc>
        <w:tc>
          <w:tcPr>
            <w:tcW w:w="1644" w:type="dxa"/>
            <w:tcBorders>
              <w:tl2br w:val="nil"/>
              <w:tr2bl w:val="nil"/>
            </w:tcBorders>
            <w:vAlign w:val="center"/>
          </w:tcPr>
          <w:p w14:paraId="1A2EF06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5C857E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反洗钱清单监测，对客资金交易</w:t>
            </w:r>
          </w:p>
        </w:tc>
      </w:tr>
      <w:tr w14:paraId="2E249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578705F4">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71FC3AC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票交所拒付通知文件处理需求</w:t>
            </w:r>
          </w:p>
        </w:tc>
        <w:tc>
          <w:tcPr>
            <w:tcW w:w="1337" w:type="dxa"/>
            <w:tcBorders>
              <w:tl2br w:val="nil"/>
              <w:tr2bl w:val="nil"/>
            </w:tcBorders>
            <w:vAlign w:val="center"/>
          </w:tcPr>
          <w:p w14:paraId="7468D08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票交所直连系统</w:t>
            </w:r>
          </w:p>
        </w:tc>
        <w:tc>
          <w:tcPr>
            <w:tcW w:w="1644" w:type="dxa"/>
            <w:tcBorders>
              <w:tl2br w:val="nil"/>
              <w:tr2bl w:val="nil"/>
            </w:tcBorders>
            <w:vAlign w:val="center"/>
          </w:tcPr>
          <w:p w14:paraId="7414568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P2-银行核心产品支持领域</w:t>
            </w:r>
          </w:p>
        </w:tc>
        <w:tc>
          <w:tcPr>
            <w:tcW w:w="1644" w:type="dxa"/>
            <w:tcBorders>
              <w:tl2br w:val="nil"/>
              <w:tr2bl w:val="nil"/>
            </w:tcBorders>
            <w:vAlign w:val="center"/>
          </w:tcPr>
          <w:p w14:paraId="4B478B1F">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员工渠道整合平台</w:t>
            </w:r>
          </w:p>
        </w:tc>
        <w:tc>
          <w:tcPr>
            <w:tcW w:w="1644" w:type="dxa"/>
            <w:tcBorders>
              <w:tl2br w:val="nil"/>
              <w:tr2bl w:val="nil"/>
            </w:tcBorders>
            <w:vAlign w:val="center"/>
          </w:tcPr>
          <w:p w14:paraId="12B112A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163B5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4D289754">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294259A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失效票据处理需求</w:t>
            </w:r>
          </w:p>
        </w:tc>
        <w:tc>
          <w:tcPr>
            <w:tcW w:w="1337" w:type="dxa"/>
            <w:tcBorders>
              <w:tl2br w:val="nil"/>
              <w:tr2bl w:val="nil"/>
            </w:tcBorders>
            <w:vAlign w:val="center"/>
          </w:tcPr>
          <w:p w14:paraId="7176BB0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票交所直连系统</w:t>
            </w:r>
          </w:p>
        </w:tc>
        <w:tc>
          <w:tcPr>
            <w:tcW w:w="1644" w:type="dxa"/>
            <w:tcBorders>
              <w:tl2br w:val="nil"/>
              <w:tr2bl w:val="nil"/>
            </w:tcBorders>
            <w:vAlign w:val="center"/>
          </w:tcPr>
          <w:p w14:paraId="72F1E77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P2-银行核心产品支持领域</w:t>
            </w:r>
          </w:p>
        </w:tc>
        <w:tc>
          <w:tcPr>
            <w:tcW w:w="1644" w:type="dxa"/>
            <w:tcBorders>
              <w:tl2br w:val="nil"/>
              <w:tr2bl w:val="nil"/>
            </w:tcBorders>
            <w:vAlign w:val="center"/>
          </w:tcPr>
          <w:p w14:paraId="4548A31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员工渠道整合平台</w:t>
            </w:r>
          </w:p>
        </w:tc>
        <w:tc>
          <w:tcPr>
            <w:tcW w:w="1644" w:type="dxa"/>
            <w:tcBorders>
              <w:tl2br w:val="nil"/>
              <w:tr2bl w:val="nil"/>
            </w:tcBorders>
            <w:vAlign w:val="center"/>
          </w:tcPr>
          <w:p w14:paraId="0EA6208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528FD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7D8F1B85">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761FC56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自贸账户转睡眠及营业外需求书</w:t>
            </w:r>
          </w:p>
        </w:tc>
        <w:tc>
          <w:tcPr>
            <w:tcW w:w="1337" w:type="dxa"/>
            <w:tcBorders>
              <w:tl2br w:val="nil"/>
              <w:tr2bl w:val="nil"/>
            </w:tcBorders>
            <w:vAlign w:val="center"/>
          </w:tcPr>
          <w:p w14:paraId="3BE43B6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存款</w:t>
            </w:r>
          </w:p>
        </w:tc>
        <w:tc>
          <w:tcPr>
            <w:tcW w:w="1644" w:type="dxa"/>
            <w:tcBorders>
              <w:tl2br w:val="nil"/>
              <w:tr2bl w:val="nil"/>
            </w:tcBorders>
            <w:vAlign w:val="center"/>
          </w:tcPr>
          <w:p w14:paraId="3DC7F9E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P2-银行核心产品支持领域，监管应用</w:t>
            </w:r>
          </w:p>
        </w:tc>
        <w:tc>
          <w:tcPr>
            <w:tcW w:w="1644" w:type="dxa"/>
            <w:tcBorders>
              <w:tl2br w:val="nil"/>
              <w:tr2bl w:val="nil"/>
            </w:tcBorders>
            <w:vAlign w:val="center"/>
          </w:tcPr>
          <w:p w14:paraId="3BCA9C5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产品研发-产品装配，P8-产品研发-产品装配</w:t>
            </w:r>
          </w:p>
        </w:tc>
        <w:tc>
          <w:tcPr>
            <w:tcW w:w="1644" w:type="dxa"/>
            <w:tcBorders>
              <w:tl2br w:val="nil"/>
              <w:tr2bl w:val="nil"/>
            </w:tcBorders>
            <w:vAlign w:val="center"/>
          </w:tcPr>
          <w:p w14:paraId="66DD4AE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财务会计-会计引擎</w:t>
            </w:r>
          </w:p>
        </w:tc>
      </w:tr>
      <w:tr w14:paraId="7F2D7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732541D1">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775AF425">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会计档案系统归档需求</w:t>
            </w:r>
          </w:p>
        </w:tc>
        <w:tc>
          <w:tcPr>
            <w:tcW w:w="1337" w:type="dxa"/>
            <w:tcBorders>
              <w:tl2br w:val="nil"/>
              <w:tr2bl w:val="nil"/>
            </w:tcBorders>
            <w:vAlign w:val="center"/>
          </w:tcPr>
          <w:p w14:paraId="77552E2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集中运营服务-会计档案</w:t>
            </w:r>
          </w:p>
        </w:tc>
        <w:tc>
          <w:tcPr>
            <w:tcW w:w="1644" w:type="dxa"/>
            <w:tcBorders>
              <w:tl2br w:val="nil"/>
              <w:tr2bl w:val="nil"/>
            </w:tcBorders>
            <w:vAlign w:val="center"/>
          </w:tcPr>
          <w:p w14:paraId="19D8214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财务会计-非引擎</w:t>
            </w:r>
          </w:p>
        </w:tc>
        <w:tc>
          <w:tcPr>
            <w:tcW w:w="1644" w:type="dxa"/>
            <w:tcBorders>
              <w:tl2br w:val="nil"/>
              <w:tr2bl w:val="nil"/>
            </w:tcBorders>
            <w:vAlign w:val="center"/>
          </w:tcPr>
          <w:p w14:paraId="1381608F">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6562178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财务会计-中收计量内部帐，存款，支付结算组件-支付，员工渠道整合平台，现金管理，客户服务</w:t>
            </w:r>
          </w:p>
        </w:tc>
      </w:tr>
      <w:tr w14:paraId="2D6C1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0F4C2A34">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77FBD68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国别风险管理系统改造（第一阶段）</w:t>
            </w:r>
          </w:p>
        </w:tc>
        <w:tc>
          <w:tcPr>
            <w:tcW w:w="1337" w:type="dxa"/>
            <w:tcBorders>
              <w:tl2br w:val="nil"/>
              <w:tr2bl w:val="nil"/>
            </w:tcBorders>
            <w:vAlign w:val="center"/>
          </w:tcPr>
          <w:p w14:paraId="1362818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国别风险管理系统</w:t>
            </w:r>
          </w:p>
        </w:tc>
        <w:tc>
          <w:tcPr>
            <w:tcW w:w="1644" w:type="dxa"/>
            <w:tcBorders>
              <w:tl2br w:val="nil"/>
              <w:tr2bl w:val="nil"/>
            </w:tcBorders>
            <w:vAlign w:val="center"/>
          </w:tcPr>
          <w:p w14:paraId="45106C7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贷款损失准备金管理，风险加权资产计算及新资本协议监管报表，管理会计</w:t>
            </w:r>
          </w:p>
        </w:tc>
        <w:tc>
          <w:tcPr>
            <w:tcW w:w="1644" w:type="dxa"/>
            <w:tcBorders>
              <w:tl2br w:val="nil"/>
              <w:tr2bl w:val="nil"/>
            </w:tcBorders>
            <w:vAlign w:val="center"/>
          </w:tcPr>
          <w:p w14:paraId="221DE93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P2-企业内部管理领域，管理分析服务，应用调度平台</w:t>
            </w:r>
          </w:p>
        </w:tc>
        <w:tc>
          <w:tcPr>
            <w:tcW w:w="1644" w:type="dxa"/>
            <w:tcBorders>
              <w:tl2br w:val="nil"/>
              <w:tr2bl w:val="nil"/>
            </w:tcBorders>
            <w:vAlign w:val="center"/>
          </w:tcPr>
          <w:p w14:paraId="7088067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投资组合与资金交易，监管应用</w:t>
            </w:r>
          </w:p>
        </w:tc>
      </w:tr>
      <w:tr w14:paraId="06682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25CB0DE2">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79E06E2A">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国别风险管理系统优化需求第二批</w:t>
            </w:r>
          </w:p>
        </w:tc>
        <w:tc>
          <w:tcPr>
            <w:tcW w:w="1337" w:type="dxa"/>
            <w:tcBorders>
              <w:tl2br w:val="nil"/>
              <w:tr2bl w:val="nil"/>
            </w:tcBorders>
            <w:vAlign w:val="center"/>
          </w:tcPr>
          <w:p w14:paraId="31EF440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国别风险管理系统</w:t>
            </w:r>
          </w:p>
        </w:tc>
        <w:tc>
          <w:tcPr>
            <w:tcW w:w="1644" w:type="dxa"/>
            <w:tcBorders>
              <w:tl2br w:val="nil"/>
              <w:tr2bl w:val="nil"/>
            </w:tcBorders>
            <w:vAlign w:val="center"/>
          </w:tcPr>
          <w:p w14:paraId="4310D93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86A00A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机构信息和用户管理系统，员工渠道整合平台</w:t>
            </w:r>
          </w:p>
        </w:tc>
        <w:tc>
          <w:tcPr>
            <w:tcW w:w="1644" w:type="dxa"/>
            <w:tcBorders>
              <w:tl2br w:val="nil"/>
              <w:tr2bl w:val="nil"/>
            </w:tcBorders>
            <w:vAlign w:val="center"/>
          </w:tcPr>
          <w:p w14:paraId="15A8C3B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548F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645AD14E">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0B1C7ED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按照监管要求，将系统内旧标识(环境与社会风险分类)界面更新为新标识(环境、社会和治理风险分类)</w:t>
            </w:r>
          </w:p>
        </w:tc>
        <w:tc>
          <w:tcPr>
            <w:tcW w:w="1337" w:type="dxa"/>
            <w:tcBorders>
              <w:tl2br w:val="nil"/>
              <w:tr2bl w:val="nil"/>
            </w:tcBorders>
            <w:vAlign w:val="center"/>
          </w:tcPr>
          <w:p w14:paraId="5F39FDD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员工渠道整合平台</w:t>
            </w:r>
          </w:p>
        </w:tc>
        <w:tc>
          <w:tcPr>
            <w:tcW w:w="1644" w:type="dxa"/>
            <w:tcBorders>
              <w:tl2br w:val="nil"/>
              <w:tr2bl w:val="nil"/>
            </w:tcBorders>
            <w:vAlign w:val="center"/>
          </w:tcPr>
          <w:p w14:paraId="4ECB890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155AC2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EBA851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2D01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3317AB57">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2E15070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定价模型组件FT账户参数配置及报表业务优化</w:t>
            </w:r>
          </w:p>
        </w:tc>
        <w:tc>
          <w:tcPr>
            <w:tcW w:w="1337" w:type="dxa"/>
            <w:tcBorders>
              <w:tl2br w:val="nil"/>
              <w:tr2bl w:val="nil"/>
            </w:tcBorders>
            <w:vAlign w:val="center"/>
          </w:tcPr>
          <w:p w14:paraId="77BAF93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定价管理-定价模型-OLAP</w:t>
            </w:r>
          </w:p>
        </w:tc>
        <w:tc>
          <w:tcPr>
            <w:tcW w:w="1644" w:type="dxa"/>
            <w:tcBorders>
              <w:tl2br w:val="nil"/>
              <w:tr2bl w:val="nil"/>
            </w:tcBorders>
            <w:vAlign w:val="center"/>
          </w:tcPr>
          <w:p w14:paraId="5AF6DDB6">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BA47458">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P2-企业内部管理领域</w:t>
            </w:r>
          </w:p>
        </w:tc>
        <w:tc>
          <w:tcPr>
            <w:tcW w:w="1644" w:type="dxa"/>
            <w:tcBorders>
              <w:tl2br w:val="nil"/>
              <w:tr2bl w:val="nil"/>
            </w:tcBorders>
            <w:vAlign w:val="center"/>
          </w:tcPr>
          <w:p w14:paraId="7F103D04">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内部转移价格管理</w:t>
            </w:r>
          </w:p>
        </w:tc>
      </w:tr>
      <w:tr w14:paraId="48971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35A14F48">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086B51A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估值引擎配合FT账户申办改造</w:t>
            </w:r>
          </w:p>
        </w:tc>
        <w:tc>
          <w:tcPr>
            <w:tcW w:w="1337" w:type="dxa"/>
            <w:tcBorders>
              <w:tl2br w:val="nil"/>
              <w:tr2bl w:val="nil"/>
            </w:tcBorders>
            <w:vAlign w:val="center"/>
          </w:tcPr>
          <w:p w14:paraId="18292F7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估值</w:t>
            </w:r>
          </w:p>
        </w:tc>
        <w:tc>
          <w:tcPr>
            <w:tcW w:w="1644" w:type="dxa"/>
            <w:tcBorders>
              <w:tl2br w:val="nil"/>
              <w:tr2bl w:val="nil"/>
            </w:tcBorders>
            <w:vAlign w:val="center"/>
          </w:tcPr>
          <w:p w14:paraId="7F0FBFD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A3FE830">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20BB32C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无</w:t>
            </w:r>
          </w:p>
        </w:tc>
      </w:tr>
      <w:tr w14:paraId="514F7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66FDD612">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330A5BF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贸金业务系统归档需求（项目卷）</w:t>
            </w:r>
          </w:p>
        </w:tc>
        <w:tc>
          <w:tcPr>
            <w:tcW w:w="1337" w:type="dxa"/>
            <w:tcBorders>
              <w:tl2br w:val="nil"/>
              <w:tr2bl w:val="nil"/>
            </w:tcBorders>
            <w:vAlign w:val="center"/>
          </w:tcPr>
          <w:p w14:paraId="2F77BE85">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FD4C458">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407D1725">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9EDC29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反洗钱清单监测,贷款,员工渠道整合平台</w:t>
            </w:r>
          </w:p>
        </w:tc>
      </w:tr>
      <w:tr w14:paraId="61B6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70B48003">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579FF34B">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信贷业务系统归档需求</w:t>
            </w:r>
          </w:p>
        </w:tc>
        <w:tc>
          <w:tcPr>
            <w:tcW w:w="1337" w:type="dxa"/>
            <w:tcBorders>
              <w:tl2br w:val="nil"/>
              <w:tr2bl w:val="nil"/>
            </w:tcBorders>
            <w:vAlign w:val="center"/>
          </w:tcPr>
          <w:p w14:paraId="2E4555FF">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500D1A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反洗钱,员工渠道整合平台</w:t>
            </w:r>
          </w:p>
        </w:tc>
        <w:tc>
          <w:tcPr>
            <w:tcW w:w="1644" w:type="dxa"/>
            <w:tcBorders>
              <w:tl2br w:val="nil"/>
              <w:tr2bl w:val="nil"/>
            </w:tcBorders>
            <w:vAlign w:val="center"/>
          </w:tcPr>
          <w:p w14:paraId="7B76FDF4">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EF96C2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反洗钱清单监测,贷款</w:t>
            </w:r>
          </w:p>
        </w:tc>
      </w:tr>
      <w:tr w14:paraId="6FB4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227BFD7A">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09B807B7">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普惠业务电子文件归档</w:t>
            </w:r>
          </w:p>
        </w:tc>
        <w:tc>
          <w:tcPr>
            <w:tcW w:w="1337" w:type="dxa"/>
            <w:tcBorders>
              <w:tl2br w:val="nil"/>
              <w:tr2bl w:val="nil"/>
            </w:tcBorders>
            <w:vAlign w:val="center"/>
          </w:tcPr>
          <w:p w14:paraId="740CBB83">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27828E19">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56921226">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CCF1711">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反洗钱清单监测,贷款,员工渠道整合平台</w:t>
            </w:r>
          </w:p>
        </w:tc>
      </w:tr>
      <w:tr w14:paraId="36CCA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05BC385A">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20CA83A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贸赢贷中信保接口升级改造</w:t>
            </w:r>
          </w:p>
        </w:tc>
        <w:tc>
          <w:tcPr>
            <w:tcW w:w="1337" w:type="dxa"/>
            <w:tcBorders>
              <w:tl2br w:val="nil"/>
              <w:tr2bl w:val="nil"/>
            </w:tcBorders>
            <w:vAlign w:val="center"/>
          </w:tcPr>
          <w:p w14:paraId="142A596B">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7B521FB">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AE5784B">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1044B47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中央风险引擎</w:t>
            </w:r>
          </w:p>
        </w:tc>
      </w:tr>
      <w:tr w14:paraId="7FBE1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643D0B46">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14E665A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三档利率贷款等改造功能</w:t>
            </w:r>
          </w:p>
        </w:tc>
        <w:tc>
          <w:tcPr>
            <w:tcW w:w="1337" w:type="dxa"/>
            <w:tcBorders>
              <w:tl2br w:val="nil"/>
              <w:tr2bl w:val="nil"/>
            </w:tcBorders>
            <w:vAlign w:val="center"/>
          </w:tcPr>
          <w:p w14:paraId="65D5AC39">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513D05A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内部转移价格管理,监管应用，定价模型</w:t>
            </w:r>
          </w:p>
        </w:tc>
        <w:tc>
          <w:tcPr>
            <w:tcW w:w="1644" w:type="dxa"/>
            <w:tcBorders>
              <w:tl2br w:val="nil"/>
              <w:tr2bl w:val="nil"/>
            </w:tcBorders>
            <w:vAlign w:val="center"/>
          </w:tcPr>
          <w:p w14:paraId="2D0E0C84">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0F02F6AD">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定价模型，定价管理-P8</w:t>
            </w:r>
          </w:p>
        </w:tc>
      </w:tr>
      <w:tr w14:paraId="42944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39E064A6">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7082057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自营性业务负面清单管理业务-贸金</w:t>
            </w:r>
          </w:p>
        </w:tc>
        <w:tc>
          <w:tcPr>
            <w:tcW w:w="1337" w:type="dxa"/>
            <w:tcBorders>
              <w:tl2br w:val="nil"/>
              <w:tr2bl w:val="nil"/>
            </w:tcBorders>
            <w:vAlign w:val="center"/>
          </w:tcPr>
          <w:p w14:paraId="4718021D">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F15FDC1">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09B4D28C">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P2-企业内部管理领域,机构信息和用户管理系统,</w:t>
            </w:r>
            <w:r>
              <w:rPr>
                <w:rFonts w:hint="eastAsia" w:ascii="宋体" w:hAnsi="宋体" w:cs="仿宋_GB2312"/>
                <w:color w:val="000000"/>
                <w:kern w:val="0"/>
                <w:sz w:val="24"/>
                <w:lang w:bidi="ar"/>
              </w:rPr>
              <w:br w:type="textWrapping"/>
            </w:r>
            <w:r>
              <w:rPr>
                <w:rFonts w:hint="eastAsia" w:ascii="宋体" w:hAnsi="宋体" w:cs="仿宋_GB2312"/>
                <w:color w:val="000000"/>
                <w:kern w:val="0"/>
                <w:sz w:val="24"/>
                <w:lang w:bidi="ar"/>
              </w:rPr>
              <w:t>员工渠道整合平台</w:t>
            </w:r>
          </w:p>
        </w:tc>
        <w:tc>
          <w:tcPr>
            <w:tcW w:w="1644" w:type="dxa"/>
            <w:tcBorders>
              <w:tl2br w:val="nil"/>
              <w:tr2bl w:val="nil"/>
            </w:tcBorders>
            <w:vAlign w:val="center"/>
          </w:tcPr>
          <w:p w14:paraId="78FDFB08">
            <w:pPr>
              <w:rPr>
                <w:rFonts w:hint="eastAsia" w:ascii="宋体" w:hAnsi="宋体" w:cs="仿宋_GB2312"/>
                <w:color w:val="000000"/>
                <w:sz w:val="24"/>
              </w:rPr>
            </w:pPr>
            <w:r>
              <w:rPr>
                <w:rFonts w:hint="eastAsia" w:ascii="宋体" w:hAnsi="宋体" w:cs="仿宋_GB2312"/>
                <w:color w:val="000000"/>
                <w:kern w:val="0"/>
                <w:sz w:val="24"/>
                <w:lang w:bidi="ar"/>
              </w:rPr>
              <w:t>无</w:t>
            </w:r>
          </w:p>
        </w:tc>
      </w:tr>
      <w:tr w14:paraId="726C5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4DA4EA9C">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4AC94C5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资金管理系统自贸同业存单需求</w:t>
            </w:r>
          </w:p>
        </w:tc>
        <w:tc>
          <w:tcPr>
            <w:tcW w:w="1337" w:type="dxa"/>
            <w:tcBorders>
              <w:tl2br w:val="nil"/>
              <w:tr2bl w:val="nil"/>
            </w:tcBorders>
            <w:vAlign w:val="center"/>
          </w:tcPr>
          <w:p w14:paraId="2781C3FA">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8480DA9">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监管应用</w:t>
            </w:r>
          </w:p>
        </w:tc>
        <w:tc>
          <w:tcPr>
            <w:tcW w:w="1644" w:type="dxa"/>
            <w:tcBorders>
              <w:tl2br w:val="nil"/>
              <w:tr2bl w:val="nil"/>
            </w:tcBorders>
            <w:vAlign w:val="center"/>
          </w:tcPr>
          <w:p w14:paraId="3F40DCF1">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3668ED82">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财务会计-非引擎</w:t>
            </w:r>
          </w:p>
        </w:tc>
      </w:tr>
      <w:tr w14:paraId="289F5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88" w:type="dxa"/>
            <w:tcBorders>
              <w:tl2br w:val="nil"/>
              <w:tr2bl w:val="nil"/>
            </w:tcBorders>
            <w:vAlign w:val="center"/>
          </w:tcPr>
          <w:p w14:paraId="40CDC1A1">
            <w:pPr>
              <w:widowControl/>
              <w:numPr>
                <w:ilvl w:val="0"/>
                <w:numId w:val="5"/>
              </w:numPr>
              <w:ind w:left="0" w:firstLine="0"/>
              <w:textAlignment w:val="center"/>
              <w:rPr>
                <w:rFonts w:hint="eastAsia" w:ascii="宋体" w:hAnsi="宋体" w:cs="仿宋_GB2312"/>
                <w:color w:val="000000"/>
                <w:sz w:val="24"/>
              </w:rPr>
            </w:pPr>
          </w:p>
        </w:tc>
        <w:tc>
          <w:tcPr>
            <w:tcW w:w="1985" w:type="dxa"/>
            <w:tcBorders>
              <w:tl2br w:val="nil"/>
              <w:tr2bl w:val="nil"/>
            </w:tcBorders>
            <w:vAlign w:val="center"/>
          </w:tcPr>
          <w:p w14:paraId="308A17EE">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深圳分行单一窗口需求</w:t>
            </w:r>
          </w:p>
        </w:tc>
        <w:tc>
          <w:tcPr>
            <w:tcW w:w="1337" w:type="dxa"/>
            <w:tcBorders>
              <w:tl2br w:val="nil"/>
              <w:tr2bl w:val="nil"/>
            </w:tcBorders>
            <w:vAlign w:val="center"/>
          </w:tcPr>
          <w:p w14:paraId="3CC4C227">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635930F3">
            <w:pPr>
              <w:widowControl/>
              <w:textAlignment w:val="center"/>
              <w:rPr>
                <w:rFonts w:hint="eastAsia" w:ascii="宋体" w:hAnsi="宋体" w:cs="仿宋_GB2312"/>
                <w:color w:val="000000"/>
                <w:sz w:val="24"/>
              </w:rPr>
            </w:pPr>
            <w:r>
              <w:rPr>
                <w:rFonts w:hint="eastAsia" w:ascii="宋体" w:hAnsi="宋体" w:cs="仿宋_GB2312"/>
                <w:color w:val="000000"/>
                <w:kern w:val="0"/>
                <w:sz w:val="24"/>
                <w:lang w:bidi="ar"/>
              </w:rPr>
              <w:t>SWIFT报文服务平台,P5-支付结算领域</w:t>
            </w:r>
          </w:p>
        </w:tc>
        <w:tc>
          <w:tcPr>
            <w:tcW w:w="1644" w:type="dxa"/>
            <w:tcBorders>
              <w:tl2br w:val="nil"/>
              <w:tr2bl w:val="nil"/>
            </w:tcBorders>
            <w:vAlign w:val="center"/>
          </w:tcPr>
          <w:p w14:paraId="6FB7D1DC">
            <w:pPr>
              <w:rPr>
                <w:rFonts w:hint="eastAsia" w:ascii="宋体" w:hAnsi="宋体" w:cs="仿宋_GB2312"/>
                <w:color w:val="000000"/>
                <w:sz w:val="24"/>
              </w:rPr>
            </w:pPr>
            <w:r>
              <w:rPr>
                <w:rFonts w:hint="eastAsia" w:ascii="宋体" w:hAnsi="宋体" w:cs="仿宋_GB2312"/>
                <w:color w:val="000000"/>
                <w:kern w:val="0"/>
                <w:sz w:val="24"/>
                <w:lang w:bidi="ar"/>
              </w:rPr>
              <w:t>无</w:t>
            </w:r>
          </w:p>
        </w:tc>
        <w:tc>
          <w:tcPr>
            <w:tcW w:w="1644" w:type="dxa"/>
            <w:tcBorders>
              <w:tl2br w:val="nil"/>
              <w:tr2bl w:val="nil"/>
            </w:tcBorders>
            <w:vAlign w:val="center"/>
          </w:tcPr>
          <w:p w14:paraId="79FAE13A">
            <w:pPr>
              <w:rPr>
                <w:rFonts w:hint="eastAsia" w:ascii="宋体" w:hAnsi="宋体" w:cs="仿宋_GB2312"/>
                <w:color w:val="000000"/>
                <w:sz w:val="24"/>
              </w:rPr>
            </w:pPr>
            <w:r>
              <w:rPr>
                <w:rFonts w:hint="eastAsia" w:ascii="宋体" w:hAnsi="宋体" w:cs="仿宋_GB2312"/>
                <w:color w:val="000000"/>
                <w:kern w:val="0"/>
                <w:sz w:val="24"/>
                <w:lang w:bidi="ar"/>
              </w:rPr>
              <w:t>无</w:t>
            </w:r>
          </w:p>
        </w:tc>
      </w:tr>
    </w:tbl>
    <w:p w14:paraId="039070A2">
      <w:pPr>
        <w:keepNext/>
        <w:keepLines/>
        <w:adjustRightInd w:val="0"/>
        <w:spacing w:line="360" w:lineRule="auto"/>
        <w:ind w:firstLine="482" w:firstLineChars="200"/>
        <w:textAlignment w:val="baseline"/>
        <w:outlineLvl w:val="0"/>
        <w:rPr>
          <w:rFonts w:hint="eastAsia" w:ascii="宋体" w:hAnsi="宋体"/>
          <w:b/>
          <w:bCs/>
          <w:sz w:val="24"/>
        </w:rPr>
      </w:pPr>
      <w:bookmarkStart w:id="8" w:name="_Toc27932"/>
      <w:r>
        <w:rPr>
          <w:rFonts w:hint="eastAsia" w:ascii="宋体" w:hAnsi="宋体"/>
          <w:b/>
          <w:bCs/>
          <w:sz w:val="24"/>
        </w:rPr>
        <w:t>五</w:t>
      </w:r>
      <w:r>
        <w:rPr>
          <w:rFonts w:ascii="宋体" w:hAnsi="宋体"/>
          <w:b/>
          <w:bCs/>
          <w:sz w:val="24"/>
        </w:rPr>
        <w:t>、服务要求</w:t>
      </w:r>
      <w:bookmarkEnd w:id="6"/>
      <w:bookmarkEnd w:id="8"/>
    </w:p>
    <w:p w14:paraId="573DB471">
      <w:pPr>
        <w:adjustRightInd w:val="0"/>
        <w:spacing w:line="360" w:lineRule="auto"/>
        <w:ind w:firstLine="482" w:firstLineChars="200"/>
        <w:rPr>
          <w:rFonts w:hint="eastAsia" w:ascii="宋体" w:hAnsi="宋体" w:cs="楷体_GB2312"/>
          <w:b/>
          <w:bCs/>
          <w:sz w:val="24"/>
        </w:rPr>
      </w:pPr>
      <w:r>
        <w:rPr>
          <w:rFonts w:hint="eastAsia" w:ascii="宋体" w:hAnsi="宋体" w:cs="楷体_GB2312"/>
          <w:b/>
          <w:bCs/>
          <w:sz w:val="24"/>
        </w:rPr>
        <w:t>（一）服务要求</w:t>
      </w:r>
    </w:p>
    <w:p w14:paraId="754038BA">
      <w:pPr>
        <w:spacing w:line="360" w:lineRule="auto"/>
        <w:ind w:firstLine="482" w:firstLineChars="200"/>
        <w:rPr>
          <w:rFonts w:hint="eastAsia" w:ascii="宋体" w:hAnsi="宋体" w:cs="仿宋_GB2312"/>
          <w:b/>
          <w:bCs/>
          <w:sz w:val="24"/>
        </w:rPr>
      </w:pPr>
      <w:bookmarkStart w:id="9" w:name="_Toc36545096"/>
      <w:r>
        <w:rPr>
          <w:rFonts w:hint="eastAsia" w:ascii="宋体" w:hAnsi="宋体" w:cs="仿宋_GB2312"/>
          <w:b/>
          <w:bCs/>
          <w:sz w:val="24"/>
        </w:rPr>
        <w:t>1.总体要求</w:t>
      </w:r>
    </w:p>
    <w:p w14:paraId="3BCD2411">
      <w:pPr>
        <w:spacing w:line="360" w:lineRule="auto"/>
        <w:ind w:firstLine="480" w:firstLineChars="200"/>
        <w:rPr>
          <w:rFonts w:hint="eastAsia" w:ascii="宋体" w:hAnsi="宋体" w:cs="仿宋_GB2312"/>
          <w:sz w:val="24"/>
        </w:rPr>
      </w:pPr>
      <w:r>
        <w:rPr>
          <w:rFonts w:hint="eastAsia" w:ascii="宋体" w:hAnsi="宋体" w:cs="仿宋_GB2312"/>
          <w:sz w:val="24"/>
        </w:rPr>
        <w:t>供应商应确保采购人享有对核心产品软件系统拥有永久的、不可撤销的、不可转让的修改权、复制权及其他使用权，以及对客户化软件及核心产品软件系统中客户化部分的全部知识产权。供应商应向采购人提供客户化软件及项目涉及的已有系统中客户化部分的目标程序及全部源代码，以及为实现项目需求引入的产品软件的目标程序及全部源代码。</w:t>
      </w:r>
    </w:p>
    <w:p w14:paraId="47ED7A9D">
      <w:pPr>
        <w:widowControl/>
        <w:spacing w:line="360" w:lineRule="auto"/>
        <w:ind w:firstLine="480" w:firstLineChars="200"/>
        <w:rPr>
          <w:rFonts w:hint="eastAsia" w:ascii="宋体" w:hAnsi="宋体" w:cs="仿宋_GB2312"/>
          <w:sz w:val="24"/>
        </w:rPr>
      </w:pPr>
      <w:r>
        <w:rPr>
          <w:rFonts w:hint="eastAsia" w:ascii="宋体" w:hAnsi="宋体" w:cs="仿宋_GB2312"/>
          <w:sz w:val="24"/>
        </w:rPr>
        <w:t>保证能够满足项目实施全生命周期中对开发、测试的要求，并支持通过开发实现对未来业务和技术功能的扩展。</w:t>
      </w:r>
    </w:p>
    <w:p w14:paraId="7C85BC16">
      <w:pPr>
        <w:widowControl/>
        <w:spacing w:line="360" w:lineRule="auto"/>
        <w:ind w:firstLine="480" w:firstLineChars="200"/>
        <w:rPr>
          <w:rFonts w:hint="eastAsia" w:ascii="宋体" w:hAnsi="宋体" w:cs="仿宋_GB2312"/>
          <w:sz w:val="24"/>
        </w:rPr>
      </w:pPr>
      <w:r>
        <w:rPr>
          <w:rFonts w:ascii="宋体" w:hAnsi="宋体"/>
          <w:sz w:val="24"/>
        </w:rPr>
        <w:t>为项目配备具有相关资质、技能和经验的技术服务人员，提供所需的信息技术服务。</w:t>
      </w:r>
      <w:r>
        <w:rPr>
          <w:rFonts w:hint="eastAsia" w:ascii="宋体" w:hAnsi="宋体" w:cs="仿宋_GB2312"/>
          <w:sz w:val="24"/>
        </w:rPr>
        <w:t>在人员供给方面，应高效及时提供满足采购人要求的高质量人力资源，并且公司应该具备此类人力资源的储备，保证满足采购人各项业务需求的开发质量及时间要求。在人员稳定性方面，应有效保障服务队伍的稳定性，以确保服务质量。在人员培训方面，应定期对服务人员进行内部培训，以使人员不断补充提高服务技能。</w:t>
      </w:r>
    </w:p>
    <w:bookmarkEnd w:id="9"/>
    <w:p w14:paraId="318D9D24">
      <w:pPr>
        <w:widowControl/>
        <w:spacing w:line="360" w:lineRule="auto"/>
        <w:ind w:firstLine="480" w:firstLineChars="200"/>
        <w:rPr>
          <w:rFonts w:hint="eastAsia" w:ascii="宋体" w:hAnsi="宋体"/>
          <w:sz w:val="24"/>
        </w:rPr>
      </w:pPr>
      <w:r>
        <w:rPr>
          <w:rFonts w:ascii="宋体" w:hAnsi="宋体"/>
          <w:sz w:val="24"/>
        </w:rPr>
        <w:t>供应商通过电话、电子邮件、传真等</w:t>
      </w:r>
      <w:r>
        <w:rPr>
          <w:rFonts w:hint="eastAsia" w:ascii="宋体" w:hAnsi="宋体"/>
          <w:sz w:val="24"/>
        </w:rPr>
        <w:t>可能必要</w:t>
      </w:r>
      <w:r>
        <w:rPr>
          <w:rFonts w:ascii="宋体" w:hAnsi="宋体"/>
          <w:sz w:val="24"/>
        </w:rPr>
        <w:t>方式向</w:t>
      </w:r>
      <w:r>
        <w:rPr>
          <w:rFonts w:hint="eastAsia" w:ascii="宋体" w:hAnsi="宋体"/>
          <w:sz w:val="24"/>
        </w:rPr>
        <w:t>采购人</w:t>
      </w:r>
      <w:r>
        <w:rPr>
          <w:rFonts w:ascii="宋体" w:hAnsi="宋体"/>
          <w:sz w:val="24"/>
        </w:rPr>
        <w:t>提供远程技术支持，</w:t>
      </w:r>
      <w:r>
        <w:rPr>
          <w:rFonts w:hint="eastAsia" w:ascii="宋体" w:hAnsi="宋体"/>
          <w:sz w:val="24"/>
        </w:rPr>
        <w:t>及时</w:t>
      </w:r>
      <w:r>
        <w:rPr>
          <w:rFonts w:ascii="宋体" w:hAnsi="宋体"/>
          <w:sz w:val="24"/>
        </w:rPr>
        <w:t>响应</w:t>
      </w:r>
      <w:r>
        <w:rPr>
          <w:rFonts w:hint="eastAsia" w:ascii="宋体" w:hAnsi="宋体"/>
          <w:sz w:val="24"/>
        </w:rPr>
        <w:t>采购人</w:t>
      </w:r>
      <w:r>
        <w:rPr>
          <w:rFonts w:ascii="宋体" w:hAnsi="宋体"/>
          <w:sz w:val="24"/>
        </w:rPr>
        <w:t>服务请求</w:t>
      </w:r>
      <w:r>
        <w:rPr>
          <w:rFonts w:hint="eastAsia" w:ascii="宋体" w:hAnsi="宋体"/>
          <w:sz w:val="24"/>
        </w:rPr>
        <w:t>，</w:t>
      </w:r>
      <w:r>
        <w:rPr>
          <w:rFonts w:ascii="宋体" w:hAnsi="宋体"/>
          <w:sz w:val="24"/>
        </w:rPr>
        <w:t>必要时协商提供人员现场服务支持</w:t>
      </w:r>
      <w:r>
        <w:rPr>
          <w:rFonts w:hint="eastAsia" w:ascii="宋体" w:hAnsi="宋体"/>
          <w:sz w:val="24"/>
        </w:rPr>
        <w:t>。</w:t>
      </w:r>
    </w:p>
    <w:p w14:paraId="20D23F61">
      <w:pPr>
        <w:spacing w:line="360" w:lineRule="auto"/>
        <w:ind w:firstLine="482" w:firstLineChars="200"/>
        <w:rPr>
          <w:rFonts w:hint="eastAsia" w:ascii="宋体" w:hAnsi="宋体"/>
          <w:b/>
          <w:bCs/>
          <w:sz w:val="24"/>
        </w:rPr>
      </w:pPr>
      <w:r>
        <w:rPr>
          <w:rFonts w:hint="eastAsia" w:ascii="宋体" w:hAnsi="宋体"/>
          <w:b/>
          <w:bCs/>
          <w:sz w:val="24"/>
        </w:rPr>
        <w:t>2.服务指标</w:t>
      </w:r>
    </w:p>
    <w:p w14:paraId="3CD622C9">
      <w:pPr>
        <w:adjustRightInd w:val="0"/>
        <w:spacing w:line="360" w:lineRule="auto"/>
        <w:ind w:firstLine="480" w:firstLineChars="200"/>
        <w:rPr>
          <w:rFonts w:hint="eastAsia" w:ascii="宋体" w:hAnsi="宋体"/>
          <w:sz w:val="24"/>
        </w:rPr>
      </w:pPr>
      <w:r>
        <w:rPr>
          <w:rFonts w:hint="eastAsia" w:ascii="宋体" w:hAnsi="宋体"/>
          <w:sz w:val="24"/>
        </w:rPr>
        <w:t>服务内容及标准如下：</w:t>
      </w:r>
    </w:p>
    <w:tbl>
      <w:tblPr>
        <w:tblStyle w:val="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6905"/>
      </w:tblGrid>
      <w:tr w14:paraId="7C0F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14:paraId="7E015BD9">
            <w:pPr>
              <w:jc w:val="center"/>
              <w:rPr>
                <w:rFonts w:hint="eastAsia" w:ascii="宋体" w:hAnsi="宋体"/>
                <w:b/>
                <w:bCs/>
                <w:sz w:val="24"/>
              </w:rPr>
            </w:pPr>
            <w:r>
              <w:rPr>
                <w:rFonts w:ascii="宋体" w:hAnsi="宋体"/>
                <w:b/>
                <w:bCs/>
                <w:sz w:val="24"/>
              </w:rPr>
              <w:t>序号</w:t>
            </w:r>
          </w:p>
        </w:tc>
        <w:tc>
          <w:tcPr>
            <w:tcW w:w="1332" w:type="dxa"/>
          </w:tcPr>
          <w:p w14:paraId="152D8414">
            <w:pPr>
              <w:jc w:val="center"/>
              <w:rPr>
                <w:rFonts w:hint="eastAsia" w:ascii="宋体" w:hAnsi="宋体"/>
                <w:b/>
                <w:bCs/>
                <w:sz w:val="24"/>
              </w:rPr>
            </w:pPr>
            <w:r>
              <w:rPr>
                <w:rFonts w:ascii="宋体" w:hAnsi="宋体"/>
                <w:b/>
                <w:bCs/>
                <w:sz w:val="24"/>
              </w:rPr>
              <w:t>服务要求项目</w:t>
            </w:r>
          </w:p>
        </w:tc>
        <w:tc>
          <w:tcPr>
            <w:tcW w:w="6905" w:type="dxa"/>
            <w:vAlign w:val="center"/>
          </w:tcPr>
          <w:p w14:paraId="0E30AAA4">
            <w:pPr>
              <w:jc w:val="center"/>
              <w:rPr>
                <w:rFonts w:hint="eastAsia" w:ascii="宋体" w:hAnsi="宋体"/>
                <w:b/>
                <w:bCs/>
                <w:sz w:val="24"/>
              </w:rPr>
            </w:pPr>
            <w:r>
              <w:rPr>
                <w:rFonts w:ascii="宋体" w:hAnsi="宋体"/>
                <w:b/>
                <w:bCs/>
                <w:sz w:val="24"/>
              </w:rPr>
              <w:t>服务要求标准</w:t>
            </w:r>
          </w:p>
        </w:tc>
      </w:tr>
      <w:tr w14:paraId="2247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19" w:type="dxa"/>
            <w:vAlign w:val="center"/>
          </w:tcPr>
          <w:p w14:paraId="6931405E">
            <w:pPr>
              <w:jc w:val="center"/>
              <w:rPr>
                <w:rFonts w:hint="eastAsia" w:ascii="宋体" w:hAnsi="宋体" w:cs="仿宋_GB2312"/>
                <w:sz w:val="24"/>
              </w:rPr>
            </w:pPr>
            <w:r>
              <w:rPr>
                <w:rFonts w:hint="eastAsia" w:ascii="宋体" w:hAnsi="宋体" w:cs="仿宋_GB2312"/>
                <w:sz w:val="24"/>
              </w:rPr>
              <w:t>1</w:t>
            </w:r>
          </w:p>
        </w:tc>
        <w:tc>
          <w:tcPr>
            <w:tcW w:w="1332" w:type="dxa"/>
            <w:vAlign w:val="center"/>
          </w:tcPr>
          <w:p w14:paraId="217F37EF">
            <w:pPr>
              <w:jc w:val="center"/>
              <w:rPr>
                <w:rFonts w:hint="eastAsia" w:ascii="宋体" w:hAnsi="宋体" w:cs="仿宋_GB2312"/>
                <w:sz w:val="24"/>
              </w:rPr>
            </w:pPr>
            <w:r>
              <w:rPr>
                <w:rFonts w:hint="eastAsia" w:ascii="宋体" w:hAnsi="宋体" w:cs="仿宋_GB2312"/>
                <w:sz w:val="24"/>
              </w:rPr>
              <w:t>实施能力</w:t>
            </w:r>
          </w:p>
        </w:tc>
        <w:tc>
          <w:tcPr>
            <w:tcW w:w="6905" w:type="dxa"/>
            <w:vAlign w:val="center"/>
          </w:tcPr>
          <w:p w14:paraId="289180E0">
            <w:pPr>
              <w:rPr>
                <w:rFonts w:hint="eastAsia" w:ascii="宋体" w:hAnsi="宋体" w:cs="仿宋_GB2312"/>
                <w:sz w:val="24"/>
              </w:rPr>
            </w:pPr>
            <w:r>
              <w:rPr>
                <w:rFonts w:hint="eastAsia" w:ascii="宋体" w:hAnsi="宋体" w:cs="仿宋_GB2312"/>
                <w:sz w:val="24"/>
              </w:rPr>
              <w:t>供应商需已具备本项目涉及系统（具体系统范围见技术要求部分）的自主开发及实施能力，采购人不提供系统培训和相关材料。如需原厂提供技术支持，供应商自行协调解决。</w:t>
            </w:r>
          </w:p>
          <w:p w14:paraId="7109DBED">
            <w:pPr>
              <w:rPr>
                <w:rFonts w:hint="eastAsia" w:ascii="宋体" w:hAnsi="宋体" w:cs="仿宋_GB2312"/>
                <w:sz w:val="24"/>
              </w:rPr>
            </w:pPr>
            <w:r>
              <w:rPr>
                <w:rFonts w:hint="eastAsia" w:ascii="宋体" w:hAnsi="宋体" w:cs="仿宋_GB2312"/>
                <w:sz w:val="24"/>
              </w:rPr>
              <w:t>本项目中涉及的每个主牵系统，供应商需提供以往同类系统实施案例作为实施能力证明，提供材料（包括但不限于商务合同、工作说明书、验收报告等）的内容应能够直观体现供应商对该类系统的功能改造能力。</w:t>
            </w:r>
          </w:p>
        </w:tc>
      </w:tr>
      <w:tr w14:paraId="453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19" w:type="dxa"/>
            <w:vAlign w:val="center"/>
          </w:tcPr>
          <w:p w14:paraId="1A327484">
            <w:pPr>
              <w:jc w:val="center"/>
              <w:rPr>
                <w:rFonts w:hint="eastAsia" w:ascii="宋体" w:hAnsi="宋体" w:cs="仿宋_GB2312"/>
                <w:sz w:val="24"/>
              </w:rPr>
            </w:pPr>
            <w:r>
              <w:rPr>
                <w:rFonts w:hint="eastAsia" w:ascii="宋体" w:hAnsi="宋体" w:cs="仿宋_GB2312"/>
                <w:sz w:val="24"/>
              </w:rPr>
              <w:t>2</w:t>
            </w:r>
          </w:p>
        </w:tc>
        <w:tc>
          <w:tcPr>
            <w:tcW w:w="1332" w:type="dxa"/>
            <w:vAlign w:val="center"/>
          </w:tcPr>
          <w:p w14:paraId="1CACA20E">
            <w:pPr>
              <w:jc w:val="center"/>
              <w:rPr>
                <w:rFonts w:hint="eastAsia" w:ascii="宋体" w:hAnsi="宋体" w:cs="仿宋_GB2312"/>
                <w:sz w:val="24"/>
              </w:rPr>
            </w:pPr>
            <w:r>
              <w:rPr>
                <w:rFonts w:hint="eastAsia" w:ascii="宋体" w:hAnsi="宋体" w:cs="仿宋_GB2312"/>
                <w:sz w:val="24"/>
              </w:rPr>
              <w:t>源代码</w:t>
            </w:r>
          </w:p>
          <w:p w14:paraId="25D1AC1C">
            <w:pPr>
              <w:jc w:val="center"/>
              <w:rPr>
                <w:rFonts w:hint="eastAsia" w:ascii="宋体" w:hAnsi="宋体" w:cs="仿宋_GB2312"/>
                <w:sz w:val="24"/>
              </w:rPr>
            </w:pPr>
            <w:r>
              <w:rPr>
                <w:rFonts w:hint="eastAsia" w:ascii="宋体" w:hAnsi="宋体" w:cs="仿宋_GB2312"/>
                <w:sz w:val="24"/>
              </w:rPr>
              <w:t>要求</w:t>
            </w:r>
          </w:p>
        </w:tc>
        <w:tc>
          <w:tcPr>
            <w:tcW w:w="6905" w:type="dxa"/>
            <w:vAlign w:val="center"/>
          </w:tcPr>
          <w:p w14:paraId="77C46A69">
            <w:pPr>
              <w:rPr>
                <w:rFonts w:hint="eastAsia" w:ascii="宋体" w:hAnsi="宋体" w:cs="仿宋_GB2312"/>
                <w:sz w:val="24"/>
              </w:rPr>
            </w:pPr>
            <w:r>
              <w:rPr>
                <w:rFonts w:hint="eastAsia" w:ascii="宋体" w:hAnsi="宋体" w:cs="仿宋_GB2312"/>
                <w:sz w:val="24"/>
              </w:rPr>
              <w:t>向采购人提供客户化软件及项目涉及的已有系统中客户化部分的目标程序及全部源代码，以及为实现项目需求引入的产品软件的目标程序及全部源代码。源代码提供方式由双方协商确定。</w:t>
            </w:r>
          </w:p>
        </w:tc>
      </w:tr>
      <w:tr w14:paraId="14BD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9" w:type="dxa"/>
            <w:vAlign w:val="center"/>
          </w:tcPr>
          <w:p w14:paraId="5A252B7E">
            <w:pPr>
              <w:jc w:val="center"/>
              <w:rPr>
                <w:rFonts w:hint="eastAsia" w:ascii="宋体" w:hAnsi="宋体" w:cs="仿宋_GB2312"/>
                <w:sz w:val="24"/>
              </w:rPr>
            </w:pPr>
            <w:r>
              <w:rPr>
                <w:rFonts w:hint="eastAsia" w:ascii="宋体" w:hAnsi="宋体" w:cs="仿宋_GB2312"/>
                <w:sz w:val="24"/>
              </w:rPr>
              <w:t>3</w:t>
            </w:r>
          </w:p>
        </w:tc>
        <w:tc>
          <w:tcPr>
            <w:tcW w:w="1332" w:type="dxa"/>
            <w:vAlign w:val="center"/>
          </w:tcPr>
          <w:p w14:paraId="5F025B6F">
            <w:pPr>
              <w:jc w:val="center"/>
              <w:rPr>
                <w:rFonts w:hint="eastAsia" w:ascii="宋体" w:hAnsi="宋体" w:cs="仿宋_GB2312"/>
                <w:sz w:val="24"/>
              </w:rPr>
            </w:pPr>
            <w:r>
              <w:rPr>
                <w:rFonts w:hint="eastAsia" w:ascii="宋体" w:hAnsi="宋体" w:cs="仿宋_GB2312"/>
                <w:sz w:val="24"/>
              </w:rPr>
              <w:t>方式要求</w:t>
            </w:r>
          </w:p>
        </w:tc>
        <w:tc>
          <w:tcPr>
            <w:tcW w:w="6905" w:type="dxa"/>
            <w:vAlign w:val="center"/>
          </w:tcPr>
          <w:p w14:paraId="787AA948">
            <w:pPr>
              <w:rPr>
                <w:rFonts w:hint="eastAsia" w:ascii="宋体" w:hAnsi="宋体" w:cs="仿宋_GB2312"/>
                <w:sz w:val="24"/>
              </w:rPr>
            </w:pPr>
            <w:r>
              <w:rPr>
                <w:rFonts w:hint="eastAsia" w:ascii="宋体" w:hAnsi="宋体" w:cs="仿宋_GB2312"/>
                <w:sz w:val="24"/>
              </w:rPr>
              <w:t>在保持现有系统（具体系统范围见技术要求部分）整体架构和稳定运行的基础上进行本项目开发</w:t>
            </w:r>
          </w:p>
        </w:tc>
      </w:tr>
      <w:tr w14:paraId="5622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9" w:type="dxa"/>
            <w:vAlign w:val="center"/>
          </w:tcPr>
          <w:p w14:paraId="37B21AE6">
            <w:pPr>
              <w:jc w:val="center"/>
              <w:rPr>
                <w:rFonts w:hint="eastAsia" w:ascii="宋体" w:hAnsi="宋体" w:cs="仿宋_GB2312"/>
                <w:sz w:val="24"/>
              </w:rPr>
            </w:pPr>
            <w:r>
              <w:rPr>
                <w:rFonts w:hint="eastAsia" w:ascii="宋体" w:hAnsi="宋体" w:cs="仿宋_GB2312"/>
                <w:sz w:val="24"/>
              </w:rPr>
              <w:t>4</w:t>
            </w:r>
          </w:p>
        </w:tc>
        <w:tc>
          <w:tcPr>
            <w:tcW w:w="1332" w:type="dxa"/>
            <w:vAlign w:val="center"/>
          </w:tcPr>
          <w:p w14:paraId="46BEB4EF">
            <w:pPr>
              <w:jc w:val="center"/>
              <w:rPr>
                <w:rFonts w:hint="eastAsia" w:ascii="宋体" w:hAnsi="宋体" w:cs="仿宋_GB2312"/>
                <w:sz w:val="24"/>
              </w:rPr>
            </w:pPr>
            <w:r>
              <w:rPr>
                <w:rFonts w:hint="eastAsia" w:ascii="宋体" w:hAnsi="宋体" w:cs="仿宋_GB2312"/>
                <w:sz w:val="24"/>
              </w:rPr>
              <w:t>上线要求</w:t>
            </w:r>
          </w:p>
        </w:tc>
        <w:tc>
          <w:tcPr>
            <w:tcW w:w="6905" w:type="dxa"/>
            <w:vAlign w:val="center"/>
          </w:tcPr>
          <w:p w14:paraId="1D300453">
            <w:pPr>
              <w:rPr>
                <w:rFonts w:hint="eastAsia" w:ascii="宋体" w:hAnsi="宋体" w:cs="仿宋_GB2312"/>
                <w:sz w:val="24"/>
              </w:rPr>
            </w:pPr>
            <w:r>
              <w:rPr>
                <w:rFonts w:hint="eastAsia" w:ascii="宋体" w:hAnsi="宋体" w:cs="仿宋_GB2312"/>
                <w:sz w:val="24"/>
              </w:rPr>
              <w:t>全部需求于2026年6月30日前投产上线。</w:t>
            </w:r>
          </w:p>
        </w:tc>
      </w:tr>
      <w:tr w14:paraId="62A9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0C447D71">
            <w:pPr>
              <w:jc w:val="center"/>
              <w:rPr>
                <w:rFonts w:hint="eastAsia" w:ascii="宋体" w:hAnsi="宋体" w:cs="仿宋_GB2312"/>
                <w:sz w:val="24"/>
              </w:rPr>
            </w:pPr>
            <w:r>
              <w:rPr>
                <w:rFonts w:hint="eastAsia" w:ascii="宋体" w:hAnsi="宋体" w:cs="仿宋_GB2312"/>
                <w:sz w:val="24"/>
              </w:rPr>
              <w:t>5</w:t>
            </w:r>
          </w:p>
        </w:tc>
        <w:tc>
          <w:tcPr>
            <w:tcW w:w="1332" w:type="dxa"/>
            <w:vAlign w:val="center"/>
          </w:tcPr>
          <w:p w14:paraId="3A8D18F0">
            <w:pPr>
              <w:jc w:val="center"/>
              <w:rPr>
                <w:rFonts w:hint="eastAsia" w:ascii="宋体" w:hAnsi="宋体" w:cs="仿宋_GB2312"/>
                <w:sz w:val="24"/>
              </w:rPr>
            </w:pPr>
            <w:r>
              <w:rPr>
                <w:rFonts w:hint="eastAsia" w:ascii="宋体" w:hAnsi="宋体" w:cs="仿宋_GB2312"/>
                <w:sz w:val="24"/>
              </w:rPr>
              <w:t>故障处理</w:t>
            </w:r>
          </w:p>
        </w:tc>
        <w:tc>
          <w:tcPr>
            <w:tcW w:w="6905" w:type="dxa"/>
          </w:tcPr>
          <w:p w14:paraId="52029491">
            <w:pPr>
              <w:widowControl/>
              <w:rPr>
                <w:rFonts w:hint="eastAsia" w:ascii="宋体" w:hAnsi="宋体" w:cs="仿宋_GB2312"/>
                <w:sz w:val="24"/>
              </w:rPr>
            </w:pPr>
            <w:r>
              <w:rPr>
                <w:rFonts w:hint="eastAsia" w:ascii="宋体" w:hAnsi="宋体" w:cs="仿宋_GB2312"/>
                <w:sz w:val="24"/>
              </w:rPr>
              <w:t>供应商通过标准化的操作流程进行软件的故障诊断和排除；配合其他条线进行故障处理。</w:t>
            </w:r>
          </w:p>
          <w:p w14:paraId="480A4F4C">
            <w:pPr>
              <w:widowControl/>
              <w:rPr>
                <w:rFonts w:hint="eastAsia" w:ascii="宋体" w:hAnsi="宋体" w:cs="仿宋_GB2312"/>
                <w:sz w:val="24"/>
              </w:rPr>
            </w:pPr>
            <w:r>
              <w:rPr>
                <w:rFonts w:hint="eastAsia" w:ascii="宋体" w:hAnsi="宋体" w:cs="仿宋_GB2312"/>
                <w:sz w:val="24"/>
              </w:rPr>
              <w:t>响应时限：（&lt;15）分钟</w:t>
            </w:r>
          </w:p>
          <w:p w14:paraId="4E910188">
            <w:pPr>
              <w:widowControl/>
              <w:rPr>
                <w:rFonts w:hint="eastAsia" w:ascii="宋体" w:hAnsi="宋体" w:cs="仿宋_GB2312"/>
                <w:sz w:val="24"/>
              </w:rPr>
            </w:pPr>
            <w:r>
              <w:rPr>
                <w:rFonts w:hint="eastAsia" w:ascii="宋体" w:hAnsi="宋体" w:cs="仿宋_GB2312"/>
                <w:sz w:val="24"/>
              </w:rPr>
              <w:t>到达现场时限：（&lt;2）小时</w:t>
            </w:r>
          </w:p>
          <w:p w14:paraId="2BF49FF7">
            <w:pPr>
              <w:widowControl/>
              <w:rPr>
                <w:rFonts w:hint="eastAsia" w:ascii="宋体" w:hAnsi="宋体" w:cs="仿宋_GB2312"/>
                <w:sz w:val="24"/>
              </w:rPr>
            </w:pPr>
            <w:r>
              <w:rPr>
                <w:rFonts w:hint="eastAsia" w:ascii="宋体" w:hAnsi="宋体" w:cs="仿宋_GB2312"/>
                <w:sz w:val="24"/>
              </w:rPr>
              <w:t>解决问题时限：（&lt;4）小时</w:t>
            </w:r>
          </w:p>
        </w:tc>
      </w:tr>
      <w:tr w14:paraId="7E63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19" w:type="dxa"/>
            <w:vAlign w:val="center"/>
          </w:tcPr>
          <w:p w14:paraId="1D9C3414">
            <w:pPr>
              <w:jc w:val="center"/>
              <w:rPr>
                <w:rFonts w:hint="eastAsia" w:ascii="宋体" w:hAnsi="宋体" w:cs="仿宋_GB2312"/>
                <w:sz w:val="24"/>
              </w:rPr>
            </w:pPr>
            <w:r>
              <w:rPr>
                <w:rFonts w:hint="eastAsia" w:ascii="宋体" w:hAnsi="宋体" w:cs="仿宋_GB2312"/>
                <w:sz w:val="24"/>
              </w:rPr>
              <w:t>6</w:t>
            </w:r>
          </w:p>
        </w:tc>
        <w:tc>
          <w:tcPr>
            <w:tcW w:w="1332" w:type="dxa"/>
            <w:vAlign w:val="center"/>
          </w:tcPr>
          <w:p w14:paraId="0C86B1B8">
            <w:pPr>
              <w:jc w:val="center"/>
              <w:rPr>
                <w:rFonts w:hint="eastAsia" w:ascii="宋体" w:hAnsi="宋体" w:cs="仿宋_GB2312"/>
                <w:sz w:val="24"/>
              </w:rPr>
            </w:pPr>
            <w:r>
              <w:rPr>
                <w:rFonts w:hint="eastAsia" w:ascii="宋体" w:hAnsi="宋体" w:cs="仿宋_GB2312"/>
                <w:sz w:val="24"/>
              </w:rPr>
              <w:t>总体要求</w:t>
            </w:r>
          </w:p>
        </w:tc>
        <w:tc>
          <w:tcPr>
            <w:tcW w:w="6905" w:type="dxa"/>
          </w:tcPr>
          <w:p w14:paraId="265C9A24">
            <w:pPr>
              <w:widowControl/>
              <w:rPr>
                <w:rFonts w:hint="eastAsia" w:ascii="宋体" w:hAnsi="宋体" w:cs="仿宋_GB2312"/>
                <w:sz w:val="24"/>
              </w:rPr>
            </w:pPr>
            <w:r>
              <w:rPr>
                <w:rFonts w:hint="eastAsia" w:ascii="宋体" w:hAnsi="宋体" w:cs="仿宋_GB2312"/>
                <w:sz w:val="24"/>
              </w:rPr>
              <w:t>针对进出口银行业务特点阐述系统实施方法论，并结合方法论，描述完整、可行的系统整体技术方案、实施方案，包括但不限于项目管理、需求确认、系统设计、系统开发、系统测试、系统切换、系统推广等方案，以及试运行策略。</w:t>
            </w:r>
          </w:p>
          <w:p w14:paraId="499216B1">
            <w:pPr>
              <w:widowControl/>
              <w:rPr>
                <w:rFonts w:hint="eastAsia" w:ascii="宋体" w:hAnsi="宋体" w:cs="仿宋_GB2312"/>
                <w:sz w:val="24"/>
              </w:rPr>
            </w:pPr>
            <w:r>
              <w:rPr>
                <w:rFonts w:hint="eastAsia" w:ascii="宋体" w:hAnsi="宋体" w:cs="仿宋_GB2312"/>
                <w:sz w:val="24"/>
              </w:rPr>
              <w:t>要求完成项目实施、测试及系统投产等工作，并阐述系统的项目整体技术方案、实施方案、测试方案、系统投产方案，根据需要附相应模板。对于其中进出口银行有模板要求的交付件，应使用要求的模版进行编写。</w:t>
            </w:r>
          </w:p>
          <w:p w14:paraId="047D6650">
            <w:pPr>
              <w:widowControl/>
              <w:rPr>
                <w:rFonts w:hint="eastAsia" w:ascii="宋体" w:hAnsi="宋体" w:cs="仿宋_GB2312"/>
                <w:sz w:val="24"/>
              </w:rPr>
            </w:pPr>
            <w:r>
              <w:rPr>
                <w:rFonts w:hint="eastAsia" w:ascii="宋体" w:hAnsi="宋体" w:cs="仿宋_GB2312"/>
                <w:sz w:val="24"/>
              </w:rPr>
              <w:t>阐述项目实施的组织架构（其中应包含进出口银行人员），并描述实施预期的时间进度表，提供具有明确里程碑的项目实施计划。</w:t>
            </w:r>
          </w:p>
          <w:p w14:paraId="59CAAEA7">
            <w:pPr>
              <w:widowControl/>
              <w:rPr>
                <w:rFonts w:hint="eastAsia" w:ascii="宋体" w:hAnsi="宋体" w:cs="仿宋_GB2312"/>
                <w:sz w:val="24"/>
              </w:rPr>
            </w:pPr>
            <w:r>
              <w:rPr>
                <w:rFonts w:hint="eastAsia" w:ascii="宋体" w:hAnsi="宋体" w:cs="仿宋_GB2312"/>
                <w:sz w:val="24"/>
              </w:rPr>
              <w:t>要求提供初步的验收测试计划以及充分的验收标准，并提供系统集成测试和投产测试的测试方案、测试案例和测试工具。</w:t>
            </w:r>
          </w:p>
          <w:p w14:paraId="4F9B2139">
            <w:pPr>
              <w:widowControl/>
              <w:rPr>
                <w:rFonts w:hint="eastAsia" w:ascii="宋体" w:hAnsi="宋体" w:cs="仿宋_GB2312"/>
                <w:sz w:val="24"/>
              </w:rPr>
            </w:pPr>
            <w:r>
              <w:rPr>
                <w:rFonts w:hint="eastAsia" w:ascii="宋体" w:hAnsi="宋体" w:cs="仿宋_GB2312"/>
                <w:sz w:val="24"/>
              </w:rPr>
              <w:t>厂商在本项目实施过程中，须服从进出口银行项目管理机构的管理。</w:t>
            </w:r>
          </w:p>
          <w:p w14:paraId="0D565869">
            <w:pPr>
              <w:widowControl/>
              <w:rPr>
                <w:rFonts w:hint="eastAsia" w:ascii="宋体" w:hAnsi="宋体" w:cs="仿宋_GB2312"/>
                <w:sz w:val="24"/>
              </w:rPr>
            </w:pPr>
            <w:r>
              <w:rPr>
                <w:rFonts w:hint="eastAsia" w:ascii="宋体" w:hAnsi="宋体" w:cs="仿宋_GB2312"/>
                <w:sz w:val="24"/>
              </w:rPr>
              <w:t>要求厂商提供本项目中所有交付物清单，包括但不限于项目文档、产品技术文档（包括平台/系统相关的接口和集成技术规范、设计规范等规范类文件，与整体技术方案一并纳入评审范围。如需外部专家参加评审的，供应商负责外部专家评审费用）、用户手册和系统管理手册。</w:t>
            </w:r>
          </w:p>
          <w:p w14:paraId="448A594F">
            <w:pPr>
              <w:widowControl/>
              <w:rPr>
                <w:rFonts w:hint="eastAsia" w:ascii="宋体" w:hAnsi="宋体" w:cs="仿宋_GB2312"/>
                <w:sz w:val="24"/>
              </w:rPr>
            </w:pPr>
            <w:r>
              <w:rPr>
                <w:rFonts w:hint="eastAsia" w:ascii="宋体" w:hAnsi="宋体" w:cs="仿宋_GB2312"/>
                <w:sz w:val="24"/>
              </w:rPr>
              <w:t>阐述系统故障应急预案，确保系统在突发状况后能够及时发现，补救，恢复。</w:t>
            </w:r>
          </w:p>
          <w:p w14:paraId="0A910923">
            <w:pPr>
              <w:widowControl/>
              <w:rPr>
                <w:rFonts w:hint="eastAsia" w:ascii="宋体" w:hAnsi="宋体" w:cs="仿宋_GB2312"/>
                <w:sz w:val="24"/>
              </w:rPr>
            </w:pPr>
            <w:r>
              <w:rPr>
                <w:rFonts w:hint="eastAsia" w:ascii="宋体" w:hAnsi="宋体" w:cs="仿宋_GB2312"/>
                <w:sz w:val="24"/>
              </w:rPr>
              <w:t>如有涉及第三方产品及服务，阐述相关产品及服务内容，报价及后期维护方式和费用。</w:t>
            </w:r>
          </w:p>
          <w:p w14:paraId="79184A98">
            <w:pPr>
              <w:widowControl/>
              <w:rPr>
                <w:rFonts w:hint="eastAsia" w:ascii="宋体" w:hAnsi="宋体" w:cs="仿宋_GB2312"/>
                <w:sz w:val="24"/>
              </w:rPr>
            </w:pPr>
            <w:r>
              <w:rPr>
                <w:rFonts w:hint="eastAsia" w:ascii="宋体" w:hAnsi="宋体" w:cs="仿宋_GB2312"/>
                <w:sz w:val="24"/>
              </w:rPr>
              <w:t>在技术方案评审阶段，提供软件物料清单，如涉及开源软件引入和使用的，应按照采购人要求开展引入评审和使用备案后方可使用。提供后续对开源软件的维护及升级支持，纳入维保范围。</w:t>
            </w:r>
          </w:p>
          <w:p w14:paraId="33F2A2FA">
            <w:pPr>
              <w:rPr>
                <w:rFonts w:hint="eastAsia" w:ascii="宋体" w:hAnsi="宋体" w:cs="仿宋_GB2312"/>
                <w:sz w:val="24"/>
              </w:rPr>
            </w:pPr>
            <w:r>
              <w:rPr>
                <w:rFonts w:hint="eastAsia" w:ascii="宋体" w:hAnsi="宋体" w:cs="仿宋_GB2312"/>
                <w:sz w:val="24"/>
              </w:rPr>
              <w:t>项目所涉及系统的新建及升级改造应遵循采购人企业级架构原则进行系统设计，制定系统架构方案，并综合考虑采购人国产化替代工作情况。包括但不限于按照采购人联机、批量、消息等接口标准与行内系统进行交互；可对接采购人统一的用户认证系统，平台内部应用实现单点登录功能；Web页面应基于chrome内核浏览器进行开发等。</w:t>
            </w:r>
          </w:p>
        </w:tc>
      </w:tr>
      <w:tr w14:paraId="1B89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3E5F9BF2">
            <w:pPr>
              <w:jc w:val="center"/>
              <w:rPr>
                <w:rFonts w:hint="eastAsia" w:ascii="宋体" w:hAnsi="宋体" w:cs="仿宋_GB2312"/>
                <w:sz w:val="24"/>
              </w:rPr>
            </w:pPr>
            <w:r>
              <w:rPr>
                <w:rFonts w:hint="eastAsia" w:ascii="宋体" w:hAnsi="宋体" w:cs="仿宋_GB2312"/>
                <w:sz w:val="24"/>
              </w:rPr>
              <w:t>7</w:t>
            </w:r>
          </w:p>
        </w:tc>
        <w:tc>
          <w:tcPr>
            <w:tcW w:w="1332" w:type="dxa"/>
            <w:vAlign w:val="center"/>
          </w:tcPr>
          <w:p w14:paraId="74EE6329">
            <w:pPr>
              <w:jc w:val="center"/>
              <w:rPr>
                <w:rFonts w:hint="eastAsia" w:ascii="宋体" w:hAnsi="宋体" w:cs="仿宋_GB2312"/>
                <w:sz w:val="24"/>
              </w:rPr>
            </w:pPr>
            <w:r>
              <w:rPr>
                <w:rFonts w:hint="eastAsia" w:ascii="宋体" w:hAnsi="宋体" w:cs="仿宋_GB2312"/>
                <w:sz w:val="24"/>
              </w:rPr>
              <w:t>项目实施要求</w:t>
            </w:r>
          </w:p>
        </w:tc>
        <w:tc>
          <w:tcPr>
            <w:tcW w:w="6905" w:type="dxa"/>
          </w:tcPr>
          <w:p w14:paraId="785F0A56">
            <w:pPr>
              <w:widowControl/>
              <w:rPr>
                <w:rFonts w:hint="eastAsia" w:ascii="宋体" w:hAnsi="宋体" w:cs="仿宋_GB2312"/>
                <w:sz w:val="24"/>
              </w:rPr>
            </w:pPr>
            <w:r>
              <w:rPr>
                <w:rFonts w:hint="eastAsia" w:ascii="宋体" w:hAnsi="宋体" w:cs="仿宋_GB2312"/>
                <w:sz w:val="24"/>
              </w:rPr>
              <w:t>以下列出了本项目实施过程中重要的实施任务，供应商应承诺完成所有实施任务，并遵守其中相关约定。相关要求参照项目工作说明书。</w:t>
            </w:r>
          </w:p>
          <w:p w14:paraId="711C7B8D">
            <w:pPr>
              <w:widowControl/>
              <w:rPr>
                <w:rFonts w:hint="eastAsia" w:ascii="宋体" w:hAnsi="宋体" w:cs="仿宋_GB2312"/>
                <w:sz w:val="24"/>
              </w:rPr>
            </w:pPr>
            <w:r>
              <w:rPr>
                <w:rFonts w:hint="eastAsia" w:ascii="宋体" w:hAnsi="宋体" w:cs="仿宋_GB2312"/>
                <w:sz w:val="24"/>
              </w:rPr>
              <w:t>（一）项目管理。</w:t>
            </w:r>
          </w:p>
          <w:p w14:paraId="6CBCC93B">
            <w:pPr>
              <w:widowControl/>
              <w:rPr>
                <w:rFonts w:hint="eastAsia" w:ascii="宋体" w:hAnsi="宋体" w:cs="仿宋_GB2312"/>
                <w:sz w:val="24"/>
              </w:rPr>
            </w:pPr>
            <w:r>
              <w:rPr>
                <w:rFonts w:hint="eastAsia" w:ascii="宋体" w:hAnsi="宋体" w:cs="仿宋_GB2312"/>
                <w:sz w:val="24"/>
              </w:rPr>
              <w:t>负责制定项目计划，并按照进出口银行的要求进行必要的调整。监督和控制项目进度。</w:t>
            </w:r>
          </w:p>
          <w:p w14:paraId="2180C3C3">
            <w:pPr>
              <w:widowControl/>
              <w:rPr>
                <w:rFonts w:hint="eastAsia" w:ascii="宋体" w:hAnsi="宋体" w:cs="仿宋_GB2312"/>
                <w:sz w:val="24"/>
              </w:rPr>
            </w:pPr>
            <w:r>
              <w:rPr>
                <w:rFonts w:hint="eastAsia" w:ascii="宋体" w:hAnsi="宋体" w:cs="仿宋_GB2312"/>
                <w:sz w:val="24"/>
              </w:rPr>
              <w:t>负责管理安排项目资源。</w:t>
            </w:r>
          </w:p>
          <w:p w14:paraId="63E2D5E5">
            <w:pPr>
              <w:widowControl/>
              <w:rPr>
                <w:rFonts w:hint="eastAsia" w:ascii="宋体" w:hAnsi="宋体" w:cs="仿宋_GB2312"/>
                <w:sz w:val="24"/>
              </w:rPr>
            </w:pPr>
            <w:r>
              <w:rPr>
                <w:rFonts w:hint="eastAsia" w:ascii="宋体" w:hAnsi="宋体" w:cs="仿宋_GB2312"/>
                <w:sz w:val="24"/>
              </w:rPr>
              <w:t>负责配合管理项目的各项任务执行、人力资源、相互工作配合与交付承诺。</w:t>
            </w:r>
          </w:p>
          <w:p w14:paraId="1034AC07">
            <w:pPr>
              <w:widowControl/>
              <w:rPr>
                <w:rFonts w:hint="eastAsia" w:ascii="宋体" w:hAnsi="宋体" w:cs="仿宋_GB2312"/>
                <w:sz w:val="24"/>
              </w:rPr>
            </w:pPr>
            <w:r>
              <w:rPr>
                <w:rFonts w:hint="eastAsia" w:ascii="宋体" w:hAnsi="宋体" w:cs="仿宋_GB2312"/>
                <w:sz w:val="24"/>
              </w:rPr>
              <w:t>负责配合管理项目范围和需求变更，并协调变更要求的签署。</w:t>
            </w:r>
          </w:p>
          <w:p w14:paraId="4FB8495B">
            <w:pPr>
              <w:widowControl/>
              <w:rPr>
                <w:rFonts w:hint="eastAsia" w:ascii="宋体" w:hAnsi="宋体" w:cs="仿宋_GB2312"/>
                <w:sz w:val="24"/>
              </w:rPr>
            </w:pPr>
            <w:r>
              <w:rPr>
                <w:rFonts w:hint="eastAsia" w:ascii="宋体" w:hAnsi="宋体" w:cs="仿宋_GB2312"/>
                <w:sz w:val="24"/>
              </w:rPr>
              <w:t>负责实施项目配置和交付管理以及项目质量管理。</w:t>
            </w:r>
          </w:p>
          <w:p w14:paraId="6BE30677">
            <w:pPr>
              <w:widowControl/>
              <w:rPr>
                <w:rFonts w:hint="eastAsia" w:ascii="宋体" w:hAnsi="宋体" w:cs="仿宋_GB2312"/>
                <w:sz w:val="24"/>
              </w:rPr>
            </w:pPr>
            <w:r>
              <w:rPr>
                <w:rFonts w:hint="eastAsia" w:ascii="宋体" w:hAnsi="宋体" w:cs="仿宋_GB2312"/>
                <w:sz w:val="24"/>
              </w:rPr>
              <w:t>负责项目问题管理和项目风险管理。</w:t>
            </w:r>
          </w:p>
          <w:p w14:paraId="7F7BFE56">
            <w:pPr>
              <w:widowControl/>
              <w:rPr>
                <w:rFonts w:hint="eastAsia" w:ascii="宋体" w:hAnsi="宋体" w:cs="仿宋_GB2312"/>
                <w:sz w:val="24"/>
              </w:rPr>
            </w:pPr>
            <w:r>
              <w:rPr>
                <w:rFonts w:hint="eastAsia" w:ascii="宋体" w:hAnsi="宋体" w:cs="仿宋_GB2312"/>
                <w:sz w:val="24"/>
              </w:rPr>
              <w:t>负责与进出口银行进行沟通并按照要求进行工作报告。</w:t>
            </w:r>
          </w:p>
          <w:p w14:paraId="52D913DD">
            <w:pPr>
              <w:widowControl/>
              <w:rPr>
                <w:rFonts w:hint="eastAsia" w:ascii="宋体" w:hAnsi="宋体" w:cs="仿宋_GB2312"/>
                <w:sz w:val="24"/>
              </w:rPr>
            </w:pPr>
            <w:r>
              <w:rPr>
                <w:rFonts w:hint="eastAsia" w:ascii="宋体" w:hAnsi="宋体" w:cs="仿宋_GB2312"/>
                <w:sz w:val="24"/>
              </w:rPr>
              <w:t>（二）业务功能分析和设计。</w:t>
            </w:r>
          </w:p>
          <w:p w14:paraId="6CDBF167">
            <w:pPr>
              <w:widowControl/>
              <w:rPr>
                <w:rFonts w:hint="eastAsia" w:ascii="宋体" w:hAnsi="宋体" w:cs="仿宋_GB2312"/>
                <w:sz w:val="24"/>
              </w:rPr>
            </w:pPr>
            <w:r>
              <w:rPr>
                <w:rFonts w:hint="eastAsia" w:ascii="宋体" w:hAnsi="宋体" w:cs="仿宋_GB2312"/>
                <w:sz w:val="24"/>
              </w:rPr>
              <w:t>负责对本项目需求梳理细化。</w:t>
            </w:r>
          </w:p>
          <w:p w14:paraId="4CC900BE">
            <w:pPr>
              <w:widowControl/>
              <w:rPr>
                <w:rFonts w:hint="eastAsia" w:ascii="宋体" w:hAnsi="宋体" w:cs="仿宋_GB2312"/>
                <w:sz w:val="24"/>
              </w:rPr>
            </w:pPr>
            <w:r>
              <w:rPr>
                <w:rFonts w:hint="eastAsia" w:ascii="宋体" w:hAnsi="宋体" w:cs="仿宋_GB2312"/>
                <w:sz w:val="24"/>
              </w:rPr>
              <w:t>负责业务需求差异分析和评估。</w:t>
            </w:r>
          </w:p>
          <w:p w14:paraId="562E4A78">
            <w:pPr>
              <w:widowControl/>
              <w:rPr>
                <w:rFonts w:hint="eastAsia" w:ascii="宋体" w:hAnsi="宋体" w:cs="仿宋_GB2312"/>
                <w:sz w:val="24"/>
              </w:rPr>
            </w:pPr>
            <w:r>
              <w:rPr>
                <w:rFonts w:hint="eastAsia" w:ascii="宋体" w:hAnsi="宋体" w:cs="仿宋_GB2312"/>
                <w:sz w:val="24"/>
              </w:rPr>
              <w:t>负责业务功能分析和制定。</w:t>
            </w:r>
          </w:p>
          <w:p w14:paraId="48EBC871">
            <w:pPr>
              <w:widowControl/>
              <w:rPr>
                <w:rFonts w:hint="eastAsia" w:ascii="宋体" w:hAnsi="宋体" w:cs="仿宋_GB2312"/>
                <w:sz w:val="24"/>
              </w:rPr>
            </w:pPr>
            <w:r>
              <w:rPr>
                <w:rFonts w:hint="eastAsia" w:ascii="宋体" w:hAnsi="宋体" w:cs="仿宋_GB2312"/>
                <w:sz w:val="24"/>
              </w:rPr>
              <w:t>负责编写需求规格说明书。</w:t>
            </w:r>
          </w:p>
          <w:p w14:paraId="187571A4">
            <w:pPr>
              <w:widowControl/>
              <w:rPr>
                <w:rFonts w:hint="eastAsia" w:ascii="宋体" w:hAnsi="宋体" w:cs="仿宋_GB2312"/>
                <w:sz w:val="24"/>
              </w:rPr>
            </w:pPr>
            <w:r>
              <w:rPr>
                <w:rFonts w:hint="eastAsia" w:ascii="宋体" w:hAnsi="宋体" w:cs="仿宋_GB2312"/>
                <w:sz w:val="24"/>
              </w:rPr>
              <w:t>负责提出与周边系统的集成解决方案。</w:t>
            </w:r>
          </w:p>
          <w:p w14:paraId="6C956B34">
            <w:pPr>
              <w:widowControl/>
              <w:rPr>
                <w:rFonts w:hint="eastAsia" w:ascii="宋体" w:hAnsi="宋体" w:cs="仿宋_GB2312"/>
                <w:sz w:val="24"/>
              </w:rPr>
            </w:pPr>
            <w:r>
              <w:rPr>
                <w:rFonts w:hint="eastAsia" w:ascii="宋体" w:hAnsi="宋体" w:cs="仿宋_GB2312"/>
                <w:sz w:val="24"/>
              </w:rPr>
              <w:t>负责系统配置设计、界面设计、扩展功能开发设计、数据转换设计等。</w:t>
            </w:r>
          </w:p>
          <w:p w14:paraId="3B3EA6CC">
            <w:pPr>
              <w:widowControl/>
              <w:rPr>
                <w:rFonts w:hint="eastAsia" w:ascii="宋体" w:hAnsi="宋体" w:cs="仿宋_GB2312"/>
                <w:sz w:val="24"/>
              </w:rPr>
            </w:pPr>
            <w:r>
              <w:rPr>
                <w:rFonts w:hint="eastAsia" w:ascii="宋体" w:hAnsi="宋体" w:cs="仿宋_GB2312"/>
                <w:sz w:val="24"/>
              </w:rPr>
              <w:t>（三）技术架构分析和设计。</w:t>
            </w:r>
          </w:p>
          <w:p w14:paraId="6D91B227">
            <w:pPr>
              <w:widowControl/>
              <w:rPr>
                <w:rFonts w:hint="eastAsia" w:ascii="宋体" w:hAnsi="宋体" w:cs="仿宋_GB2312"/>
                <w:sz w:val="24"/>
              </w:rPr>
            </w:pPr>
            <w:r>
              <w:rPr>
                <w:rFonts w:hint="eastAsia" w:ascii="宋体" w:hAnsi="宋体" w:cs="仿宋_GB2312"/>
                <w:sz w:val="24"/>
              </w:rPr>
              <w:t>负责制定技术架构方案。</w:t>
            </w:r>
          </w:p>
          <w:p w14:paraId="096C7E67">
            <w:pPr>
              <w:widowControl/>
              <w:rPr>
                <w:rFonts w:hint="eastAsia" w:ascii="宋体" w:hAnsi="宋体" w:cs="仿宋_GB2312"/>
                <w:sz w:val="24"/>
              </w:rPr>
            </w:pPr>
            <w:r>
              <w:rPr>
                <w:rFonts w:hint="eastAsia" w:ascii="宋体" w:hAnsi="宋体" w:cs="仿宋_GB2312"/>
                <w:sz w:val="24"/>
              </w:rPr>
              <w:t>负责制定运维管理方案。</w:t>
            </w:r>
          </w:p>
          <w:p w14:paraId="2239EF31">
            <w:pPr>
              <w:widowControl/>
              <w:rPr>
                <w:rFonts w:hint="eastAsia" w:ascii="宋体" w:hAnsi="宋体" w:cs="仿宋_GB2312"/>
                <w:sz w:val="24"/>
              </w:rPr>
            </w:pPr>
            <w:r>
              <w:rPr>
                <w:rFonts w:hint="eastAsia" w:ascii="宋体" w:hAnsi="宋体" w:cs="仿宋_GB2312"/>
                <w:sz w:val="24"/>
              </w:rPr>
              <w:t>负责分析接口定义并提出技术实现方案。</w:t>
            </w:r>
          </w:p>
          <w:p w14:paraId="2399E000">
            <w:pPr>
              <w:widowControl/>
              <w:rPr>
                <w:rFonts w:hint="eastAsia" w:ascii="宋体" w:hAnsi="宋体" w:cs="仿宋_GB2312"/>
                <w:sz w:val="24"/>
              </w:rPr>
            </w:pPr>
            <w:r>
              <w:rPr>
                <w:rFonts w:hint="eastAsia" w:ascii="宋体" w:hAnsi="宋体" w:cs="仿宋_GB2312"/>
                <w:sz w:val="24"/>
              </w:rPr>
              <w:t>负责评估与进出口银行总体技术架构的差异，并编写技术规格说明书。</w:t>
            </w:r>
          </w:p>
          <w:p w14:paraId="6133387D">
            <w:pPr>
              <w:widowControl/>
              <w:rPr>
                <w:rFonts w:hint="eastAsia" w:ascii="宋体" w:hAnsi="宋体" w:cs="仿宋_GB2312"/>
                <w:sz w:val="24"/>
              </w:rPr>
            </w:pPr>
            <w:r>
              <w:rPr>
                <w:rFonts w:hint="eastAsia" w:ascii="宋体" w:hAnsi="宋体" w:cs="仿宋_GB2312"/>
                <w:sz w:val="24"/>
              </w:rPr>
              <w:t>负责提出开发与测试环境的构建方案。</w:t>
            </w:r>
          </w:p>
          <w:p w14:paraId="050B011C">
            <w:pPr>
              <w:widowControl/>
              <w:rPr>
                <w:rFonts w:hint="eastAsia" w:ascii="宋体" w:hAnsi="宋体" w:cs="仿宋_GB2312"/>
                <w:sz w:val="24"/>
              </w:rPr>
            </w:pPr>
            <w:r>
              <w:rPr>
                <w:rFonts w:hint="eastAsia" w:ascii="宋体" w:hAnsi="宋体" w:cs="仿宋_GB2312"/>
                <w:sz w:val="24"/>
              </w:rPr>
              <w:t>负责提出生产环境的构建方案。</w:t>
            </w:r>
          </w:p>
          <w:p w14:paraId="12363FA7">
            <w:pPr>
              <w:widowControl/>
              <w:rPr>
                <w:rFonts w:hint="eastAsia" w:ascii="宋体" w:hAnsi="宋体" w:cs="仿宋_GB2312"/>
                <w:sz w:val="24"/>
              </w:rPr>
            </w:pPr>
            <w:r>
              <w:rPr>
                <w:rFonts w:hint="eastAsia" w:ascii="宋体" w:hAnsi="宋体" w:cs="仿宋_GB2312"/>
                <w:sz w:val="24"/>
              </w:rPr>
              <w:t>负责编写技术设计说明书。</w:t>
            </w:r>
          </w:p>
          <w:p w14:paraId="4634B126">
            <w:pPr>
              <w:widowControl/>
              <w:rPr>
                <w:rFonts w:hint="eastAsia" w:ascii="宋体" w:hAnsi="宋体" w:cs="仿宋_GB2312"/>
                <w:sz w:val="24"/>
              </w:rPr>
            </w:pPr>
            <w:r>
              <w:rPr>
                <w:rFonts w:hint="eastAsia" w:ascii="宋体" w:hAnsi="宋体" w:cs="仿宋_GB2312"/>
                <w:sz w:val="24"/>
              </w:rPr>
              <w:t>（四）业务功能构建。</w:t>
            </w:r>
          </w:p>
          <w:p w14:paraId="6E7CE395">
            <w:pPr>
              <w:widowControl/>
              <w:rPr>
                <w:rFonts w:hint="eastAsia" w:ascii="宋体" w:hAnsi="宋体" w:cs="仿宋_GB2312"/>
                <w:sz w:val="24"/>
              </w:rPr>
            </w:pPr>
            <w:r>
              <w:rPr>
                <w:rFonts w:hint="eastAsia" w:ascii="宋体" w:hAnsi="宋体" w:cs="仿宋_GB2312"/>
                <w:sz w:val="24"/>
              </w:rPr>
              <w:t>负责提出参数配置模版及配置方案。</w:t>
            </w:r>
          </w:p>
          <w:p w14:paraId="4833B0BB">
            <w:pPr>
              <w:widowControl/>
              <w:rPr>
                <w:rFonts w:hint="eastAsia" w:ascii="宋体" w:hAnsi="宋体" w:cs="仿宋_GB2312"/>
                <w:sz w:val="24"/>
              </w:rPr>
            </w:pPr>
            <w:r>
              <w:rPr>
                <w:rFonts w:hint="eastAsia" w:ascii="宋体" w:hAnsi="宋体" w:cs="仿宋_GB2312"/>
                <w:sz w:val="24"/>
              </w:rPr>
              <w:t>负责进行客户化部分的详细设计，并编写详细设计说明书。</w:t>
            </w:r>
          </w:p>
          <w:p w14:paraId="020FDB77">
            <w:pPr>
              <w:widowControl/>
              <w:rPr>
                <w:rFonts w:hint="eastAsia" w:ascii="宋体" w:hAnsi="宋体" w:cs="仿宋_GB2312"/>
                <w:sz w:val="24"/>
              </w:rPr>
            </w:pPr>
            <w:r>
              <w:rPr>
                <w:rFonts w:hint="eastAsia" w:ascii="宋体" w:hAnsi="宋体" w:cs="仿宋_GB2312"/>
                <w:sz w:val="24"/>
              </w:rPr>
              <w:t>负责接口开发、扩展功能开发、数据转换开发。</w:t>
            </w:r>
          </w:p>
          <w:p w14:paraId="35631C6D">
            <w:pPr>
              <w:widowControl/>
              <w:rPr>
                <w:rFonts w:hint="eastAsia" w:ascii="宋体" w:hAnsi="宋体" w:cs="仿宋_GB2312"/>
                <w:sz w:val="24"/>
              </w:rPr>
            </w:pPr>
            <w:r>
              <w:rPr>
                <w:rFonts w:hint="eastAsia" w:ascii="宋体" w:hAnsi="宋体" w:cs="仿宋_GB2312"/>
                <w:sz w:val="24"/>
              </w:rPr>
              <w:t>负责计划、准备与执行单元测试。</w:t>
            </w:r>
          </w:p>
          <w:p w14:paraId="36466448">
            <w:pPr>
              <w:widowControl/>
              <w:rPr>
                <w:rFonts w:hint="eastAsia" w:ascii="宋体" w:hAnsi="宋体" w:cs="仿宋_GB2312"/>
                <w:sz w:val="24"/>
              </w:rPr>
            </w:pPr>
            <w:r>
              <w:rPr>
                <w:rFonts w:hint="eastAsia" w:ascii="宋体" w:hAnsi="宋体" w:cs="仿宋_GB2312"/>
                <w:sz w:val="24"/>
              </w:rPr>
              <w:t>负责确认单元测试结果并提交单元测试报告。</w:t>
            </w:r>
          </w:p>
          <w:p w14:paraId="4581F11A">
            <w:pPr>
              <w:widowControl/>
              <w:rPr>
                <w:rFonts w:hint="eastAsia" w:ascii="宋体" w:hAnsi="宋体" w:cs="仿宋_GB2312"/>
                <w:sz w:val="24"/>
              </w:rPr>
            </w:pPr>
            <w:r>
              <w:rPr>
                <w:rFonts w:hint="eastAsia" w:ascii="宋体" w:hAnsi="宋体" w:cs="仿宋_GB2312"/>
                <w:sz w:val="24"/>
              </w:rPr>
              <w:t>（五）技术架构构建。</w:t>
            </w:r>
          </w:p>
          <w:p w14:paraId="250B4F35">
            <w:pPr>
              <w:widowControl/>
              <w:rPr>
                <w:rFonts w:hint="eastAsia" w:ascii="宋体" w:hAnsi="宋体" w:cs="仿宋_GB2312"/>
                <w:sz w:val="24"/>
              </w:rPr>
            </w:pPr>
            <w:r>
              <w:rPr>
                <w:rFonts w:hint="eastAsia" w:ascii="宋体" w:hAnsi="宋体" w:cs="仿宋_GB2312"/>
                <w:sz w:val="24"/>
              </w:rPr>
              <w:t>负责测试环境的构建与确认。</w:t>
            </w:r>
          </w:p>
          <w:p w14:paraId="3DEA7926">
            <w:pPr>
              <w:widowControl/>
              <w:rPr>
                <w:rFonts w:hint="eastAsia" w:ascii="宋体" w:hAnsi="宋体" w:cs="仿宋_GB2312"/>
                <w:sz w:val="24"/>
              </w:rPr>
            </w:pPr>
            <w:r>
              <w:rPr>
                <w:rFonts w:hint="eastAsia" w:ascii="宋体" w:hAnsi="宋体" w:cs="仿宋_GB2312"/>
                <w:sz w:val="24"/>
              </w:rPr>
              <w:t>负责就测试环境管理流程和制度与进出口银行达成一致。</w:t>
            </w:r>
          </w:p>
          <w:p w14:paraId="673678ED">
            <w:pPr>
              <w:widowControl/>
              <w:rPr>
                <w:rFonts w:hint="eastAsia" w:ascii="宋体" w:hAnsi="宋体" w:cs="仿宋_GB2312"/>
                <w:sz w:val="24"/>
              </w:rPr>
            </w:pPr>
            <w:r>
              <w:rPr>
                <w:rFonts w:hint="eastAsia" w:ascii="宋体" w:hAnsi="宋体" w:cs="仿宋_GB2312"/>
                <w:sz w:val="24"/>
              </w:rPr>
              <w:t>负责进行测试环境下的应用系统的安装和配置。</w:t>
            </w:r>
          </w:p>
          <w:p w14:paraId="2FC9F8EF">
            <w:pPr>
              <w:widowControl/>
              <w:rPr>
                <w:rFonts w:hint="eastAsia" w:ascii="宋体" w:hAnsi="宋体" w:cs="仿宋_GB2312"/>
                <w:sz w:val="24"/>
              </w:rPr>
            </w:pPr>
            <w:r>
              <w:rPr>
                <w:rFonts w:hint="eastAsia" w:ascii="宋体" w:hAnsi="宋体" w:cs="仿宋_GB2312"/>
                <w:sz w:val="24"/>
              </w:rPr>
              <w:t>（六）产品测试和性能测试。</w:t>
            </w:r>
          </w:p>
          <w:p w14:paraId="725FC4AF">
            <w:pPr>
              <w:widowControl/>
              <w:rPr>
                <w:rFonts w:hint="eastAsia" w:ascii="宋体" w:hAnsi="宋体" w:cs="仿宋_GB2312"/>
                <w:sz w:val="24"/>
              </w:rPr>
            </w:pPr>
            <w:r>
              <w:rPr>
                <w:rFonts w:hint="eastAsia" w:ascii="宋体" w:hAnsi="宋体" w:cs="仿宋_GB2312"/>
                <w:sz w:val="24"/>
              </w:rPr>
              <w:t>负责产品测试的计划、准备和执行。</w:t>
            </w:r>
          </w:p>
          <w:p w14:paraId="5F0961F0">
            <w:pPr>
              <w:widowControl/>
              <w:rPr>
                <w:rFonts w:hint="eastAsia" w:ascii="宋体" w:hAnsi="宋体" w:cs="仿宋_GB2312"/>
                <w:sz w:val="24"/>
              </w:rPr>
            </w:pPr>
            <w:r>
              <w:rPr>
                <w:rFonts w:hint="eastAsia" w:ascii="宋体" w:hAnsi="宋体" w:cs="仿宋_GB2312"/>
                <w:sz w:val="24"/>
              </w:rPr>
              <w:t>负责系统修补，并完成产品测试报告。</w:t>
            </w:r>
          </w:p>
          <w:p w14:paraId="05FF117A">
            <w:pPr>
              <w:widowControl/>
              <w:rPr>
                <w:rFonts w:hint="eastAsia" w:ascii="宋体" w:hAnsi="宋体" w:cs="仿宋_GB2312"/>
                <w:sz w:val="24"/>
              </w:rPr>
            </w:pPr>
            <w:r>
              <w:rPr>
                <w:rFonts w:hint="eastAsia" w:ascii="宋体" w:hAnsi="宋体" w:cs="仿宋_GB2312"/>
                <w:sz w:val="24"/>
              </w:rPr>
              <w:t>负责性能测试的计划、准备和执行。</w:t>
            </w:r>
          </w:p>
          <w:p w14:paraId="254E2E45">
            <w:pPr>
              <w:widowControl/>
              <w:rPr>
                <w:rFonts w:hint="eastAsia" w:ascii="宋体" w:hAnsi="宋体" w:cs="仿宋_GB2312"/>
                <w:sz w:val="24"/>
              </w:rPr>
            </w:pPr>
            <w:r>
              <w:rPr>
                <w:rFonts w:hint="eastAsia" w:ascii="宋体" w:hAnsi="宋体" w:cs="仿宋_GB2312"/>
                <w:sz w:val="24"/>
              </w:rPr>
              <w:t>负责系统调优和进一步的性能测试，并负责完成性能测试报告。</w:t>
            </w:r>
          </w:p>
          <w:p w14:paraId="4351C257">
            <w:pPr>
              <w:widowControl/>
              <w:rPr>
                <w:rFonts w:hint="eastAsia" w:ascii="宋体" w:hAnsi="宋体" w:cs="仿宋_GB2312"/>
                <w:sz w:val="24"/>
              </w:rPr>
            </w:pPr>
            <w:r>
              <w:rPr>
                <w:rFonts w:hint="eastAsia" w:ascii="宋体" w:hAnsi="宋体" w:cs="仿宋_GB2312"/>
                <w:sz w:val="24"/>
              </w:rPr>
              <w:t>（七）系统集成测试。</w:t>
            </w:r>
          </w:p>
          <w:p w14:paraId="32996311">
            <w:pPr>
              <w:widowControl/>
              <w:rPr>
                <w:rFonts w:hint="eastAsia" w:ascii="宋体" w:hAnsi="宋体" w:cs="仿宋_GB2312"/>
                <w:sz w:val="24"/>
              </w:rPr>
            </w:pPr>
            <w:r>
              <w:rPr>
                <w:rFonts w:hint="eastAsia" w:ascii="宋体" w:hAnsi="宋体" w:cs="仿宋_GB2312"/>
                <w:sz w:val="24"/>
              </w:rPr>
              <w:t>负责提出系统集成测试计划和方案。</w:t>
            </w:r>
          </w:p>
          <w:p w14:paraId="417A4663">
            <w:pPr>
              <w:widowControl/>
              <w:rPr>
                <w:rFonts w:hint="eastAsia" w:ascii="宋体" w:hAnsi="宋体" w:cs="仿宋_GB2312"/>
                <w:sz w:val="24"/>
              </w:rPr>
            </w:pPr>
            <w:r>
              <w:rPr>
                <w:rFonts w:hint="eastAsia" w:ascii="宋体" w:hAnsi="宋体" w:cs="仿宋_GB2312"/>
                <w:sz w:val="24"/>
              </w:rPr>
              <w:t>负责完成系统集成测试案例、测试脚本以及相关的测试数据。</w:t>
            </w:r>
          </w:p>
          <w:p w14:paraId="0AEB1B2F">
            <w:pPr>
              <w:widowControl/>
              <w:rPr>
                <w:rFonts w:hint="eastAsia" w:ascii="宋体" w:hAnsi="宋体" w:cs="仿宋_GB2312"/>
                <w:sz w:val="24"/>
              </w:rPr>
            </w:pPr>
            <w:r>
              <w:rPr>
                <w:rFonts w:hint="eastAsia" w:ascii="宋体" w:hAnsi="宋体" w:cs="仿宋_GB2312"/>
                <w:sz w:val="24"/>
              </w:rPr>
              <w:t>负责在进出口银行统一管理下执行系统集成测试，进行系统修补和必要的回归测试。</w:t>
            </w:r>
          </w:p>
          <w:p w14:paraId="787E9E08">
            <w:pPr>
              <w:widowControl/>
              <w:rPr>
                <w:rFonts w:hint="eastAsia" w:ascii="宋体" w:hAnsi="宋体" w:cs="仿宋_GB2312"/>
                <w:sz w:val="24"/>
              </w:rPr>
            </w:pPr>
            <w:r>
              <w:rPr>
                <w:rFonts w:hint="eastAsia" w:ascii="宋体" w:hAnsi="宋体" w:cs="仿宋_GB2312"/>
                <w:sz w:val="24"/>
              </w:rPr>
              <w:t>负责完成相应的系统集成测试报告。</w:t>
            </w:r>
          </w:p>
          <w:p w14:paraId="2C818F72">
            <w:pPr>
              <w:widowControl/>
              <w:rPr>
                <w:rFonts w:hint="eastAsia" w:ascii="宋体" w:hAnsi="宋体" w:cs="仿宋_GB2312"/>
                <w:sz w:val="24"/>
              </w:rPr>
            </w:pPr>
            <w:r>
              <w:rPr>
                <w:rFonts w:hint="eastAsia" w:ascii="宋体" w:hAnsi="宋体" w:cs="仿宋_GB2312"/>
                <w:sz w:val="24"/>
              </w:rPr>
              <w:t>（八）用户验收测试。</w:t>
            </w:r>
          </w:p>
          <w:p w14:paraId="0168C9AE">
            <w:pPr>
              <w:widowControl/>
              <w:rPr>
                <w:rFonts w:hint="eastAsia" w:ascii="宋体" w:hAnsi="宋体" w:cs="仿宋_GB2312"/>
                <w:sz w:val="24"/>
              </w:rPr>
            </w:pPr>
            <w:r>
              <w:rPr>
                <w:rFonts w:hint="eastAsia" w:ascii="宋体" w:hAnsi="宋体" w:cs="仿宋_GB2312"/>
                <w:sz w:val="24"/>
              </w:rPr>
              <w:t>协助提出用户验收测试计划和方案。</w:t>
            </w:r>
          </w:p>
          <w:p w14:paraId="2C0DD3B5">
            <w:pPr>
              <w:widowControl/>
              <w:rPr>
                <w:rFonts w:hint="eastAsia" w:ascii="宋体" w:hAnsi="宋体" w:cs="仿宋_GB2312"/>
                <w:sz w:val="24"/>
              </w:rPr>
            </w:pPr>
            <w:r>
              <w:rPr>
                <w:rFonts w:hint="eastAsia" w:ascii="宋体" w:hAnsi="宋体" w:cs="仿宋_GB2312"/>
                <w:sz w:val="24"/>
              </w:rPr>
              <w:t>协助准备用户验收测试案例、测试脚本和数据。</w:t>
            </w:r>
          </w:p>
          <w:p w14:paraId="297F82C6">
            <w:pPr>
              <w:widowControl/>
              <w:rPr>
                <w:rFonts w:hint="eastAsia" w:ascii="宋体" w:hAnsi="宋体" w:cs="仿宋_GB2312"/>
                <w:sz w:val="24"/>
              </w:rPr>
            </w:pPr>
            <w:r>
              <w:rPr>
                <w:rFonts w:hint="eastAsia" w:ascii="宋体" w:hAnsi="宋体" w:cs="仿宋_GB2312"/>
                <w:sz w:val="24"/>
              </w:rPr>
              <w:t>协助执行用户验收测试。</w:t>
            </w:r>
          </w:p>
          <w:p w14:paraId="1BC8B7DE">
            <w:pPr>
              <w:widowControl/>
              <w:rPr>
                <w:rFonts w:hint="eastAsia" w:ascii="宋体" w:hAnsi="宋体" w:cs="仿宋_GB2312"/>
                <w:sz w:val="24"/>
              </w:rPr>
            </w:pPr>
            <w:r>
              <w:rPr>
                <w:rFonts w:hint="eastAsia" w:ascii="宋体" w:hAnsi="宋体" w:cs="仿宋_GB2312"/>
                <w:sz w:val="24"/>
              </w:rPr>
              <w:t>负责系统修补。</w:t>
            </w:r>
          </w:p>
          <w:p w14:paraId="7E4277E1">
            <w:pPr>
              <w:widowControl/>
              <w:rPr>
                <w:rFonts w:hint="eastAsia" w:ascii="宋体" w:hAnsi="宋体" w:cs="仿宋_GB2312"/>
                <w:sz w:val="24"/>
              </w:rPr>
            </w:pPr>
            <w:r>
              <w:rPr>
                <w:rFonts w:hint="eastAsia" w:ascii="宋体" w:hAnsi="宋体" w:cs="仿宋_GB2312"/>
                <w:sz w:val="24"/>
              </w:rPr>
              <w:t>协助进行回归测试、协助完成用户验收测试报告。</w:t>
            </w:r>
          </w:p>
          <w:p w14:paraId="56FDEC15">
            <w:pPr>
              <w:widowControl/>
              <w:rPr>
                <w:rFonts w:hint="eastAsia" w:ascii="宋体" w:hAnsi="宋体" w:cs="仿宋_GB2312"/>
                <w:sz w:val="24"/>
              </w:rPr>
            </w:pPr>
            <w:r>
              <w:rPr>
                <w:rFonts w:hint="eastAsia" w:ascii="宋体" w:hAnsi="宋体" w:cs="仿宋_GB2312"/>
                <w:sz w:val="24"/>
              </w:rPr>
              <w:t>（九）投产和推广（包括投产、试运行、正式运行、最终验收）。</w:t>
            </w:r>
          </w:p>
          <w:p w14:paraId="6656D517">
            <w:pPr>
              <w:widowControl/>
              <w:rPr>
                <w:rFonts w:hint="eastAsia" w:ascii="宋体" w:hAnsi="宋体" w:cs="仿宋_GB2312"/>
                <w:sz w:val="24"/>
              </w:rPr>
            </w:pPr>
            <w:r>
              <w:rPr>
                <w:rFonts w:hint="eastAsia" w:ascii="宋体" w:hAnsi="宋体" w:cs="仿宋_GB2312"/>
                <w:sz w:val="24"/>
              </w:rPr>
              <w:t>根据需要负责制定上线演练计划和方案。</w:t>
            </w:r>
          </w:p>
          <w:p w14:paraId="2C39D00A">
            <w:pPr>
              <w:widowControl/>
              <w:rPr>
                <w:rFonts w:hint="eastAsia" w:ascii="宋体" w:hAnsi="宋体" w:cs="仿宋_GB2312"/>
                <w:sz w:val="24"/>
              </w:rPr>
            </w:pPr>
            <w:r>
              <w:rPr>
                <w:rFonts w:hint="eastAsia" w:ascii="宋体" w:hAnsi="宋体" w:cs="仿宋_GB2312"/>
                <w:sz w:val="24"/>
              </w:rPr>
              <w:t>负责制定投产演练方案、运维测试方案，负责运维培训，配合行方完成投产演练和运维测试工作。</w:t>
            </w:r>
          </w:p>
          <w:p w14:paraId="40EECCB3">
            <w:pPr>
              <w:widowControl/>
              <w:rPr>
                <w:rFonts w:hint="eastAsia" w:ascii="宋体" w:hAnsi="宋体" w:cs="仿宋_GB2312"/>
                <w:sz w:val="24"/>
              </w:rPr>
            </w:pPr>
            <w:r>
              <w:rPr>
                <w:rFonts w:hint="eastAsia" w:ascii="宋体" w:hAnsi="宋体" w:cs="仿宋_GB2312"/>
                <w:sz w:val="24"/>
              </w:rPr>
              <w:t>在进出口银行统一管理下执行上线演练。</w:t>
            </w:r>
          </w:p>
          <w:p w14:paraId="242FCA4B">
            <w:pPr>
              <w:widowControl/>
              <w:rPr>
                <w:rFonts w:hint="eastAsia" w:ascii="宋体" w:hAnsi="宋体" w:cs="仿宋_GB2312"/>
                <w:sz w:val="24"/>
              </w:rPr>
            </w:pPr>
            <w:r>
              <w:rPr>
                <w:rFonts w:hint="eastAsia" w:ascii="宋体" w:hAnsi="宋体" w:cs="仿宋_GB2312"/>
                <w:sz w:val="24"/>
              </w:rPr>
              <w:t>负责制定投产上线范围、制定系统（数据、业务）投产上线计划。</w:t>
            </w:r>
          </w:p>
          <w:p w14:paraId="58705BDD">
            <w:pPr>
              <w:widowControl/>
              <w:rPr>
                <w:rFonts w:hint="eastAsia" w:ascii="宋体" w:hAnsi="宋体" w:cs="仿宋_GB2312"/>
                <w:sz w:val="24"/>
              </w:rPr>
            </w:pPr>
            <w:r>
              <w:rPr>
                <w:rFonts w:hint="eastAsia" w:ascii="宋体" w:hAnsi="宋体" w:cs="仿宋_GB2312"/>
                <w:sz w:val="24"/>
              </w:rPr>
              <w:t>负责制定投产上线操作方案、流程和策略，并制定应急和恢复方案。</w:t>
            </w:r>
          </w:p>
          <w:p w14:paraId="69810519">
            <w:pPr>
              <w:widowControl/>
              <w:rPr>
                <w:rFonts w:hint="eastAsia" w:ascii="宋体" w:hAnsi="宋体" w:cs="仿宋_GB2312"/>
                <w:sz w:val="24"/>
              </w:rPr>
            </w:pPr>
            <w:r>
              <w:rPr>
                <w:rFonts w:hint="eastAsia" w:ascii="宋体" w:hAnsi="宋体" w:cs="仿宋_GB2312"/>
                <w:sz w:val="24"/>
              </w:rPr>
              <w:t>负责制定试运行方案、流程和策略，并制定应急和恢复方案。</w:t>
            </w:r>
          </w:p>
          <w:p w14:paraId="15AD8BCB">
            <w:pPr>
              <w:widowControl/>
              <w:rPr>
                <w:rFonts w:hint="eastAsia" w:ascii="宋体" w:hAnsi="宋体" w:cs="仿宋_GB2312"/>
                <w:sz w:val="24"/>
              </w:rPr>
            </w:pPr>
            <w:r>
              <w:rPr>
                <w:rFonts w:hint="eastAsia" w:ascii="宋体" w:hAnsi="宋体" w:cs="仿宋_GB2312"/>
                <w:sz w:val="24"/>
              </w:rPr>
              <w:t>协助进出口银行进行推广文档编制。</w:t>
            </w:r>
          </w:p>
          <w:p w14:paraId="3DD899F4">
            <w:pPr>
              <w:widowControl/>
              <w:rPr>
                <w:rFonts w:hint="eastAsia" w:ascii="宋体" w:hAnsi="宋体" w:cs="仿宋_GB2312"/>
                <w:sz w:val="24"/>
              </w:rPr>
            </w:pPr>
            <w:r>
              <w:rPr>
                <w:rFonts w:hint="eastAsia" w:ascii="宋体" w:hAnsi="宋体" w:cs="仿宋_GB2312"/>
                <w:sz w:val="24"/>
              </w:rPr>
              <w:t>协助进出口银行完成投产上线。</w:t>
            </w:r>
          </w:p>
          <w:p w14:paraId="3996E9C0">
            <w:pPr>
              <w:widowControl/>
              <w:rPr>
                <w:rFonts w:hint="eastAsia" w:ascii="宋体" w:hAnsi="宋体" w:cs="仿宋_GB2312"/>
                <w:sz w:val="24"/>
              </w:rPr>
            </w:pPr>
            <w:r>
              <w:rPr>
                <w:rFonts w:hint="eastAsia" w:ascii="宋体" w:hAnsi="宋体" w:cs="仿宋_GB2312"/>
                <w:sz w:val="24"/>
              </w:rPr>
              <w:t>支持系统试运行工作。</w:t>
            </w:r>
          </w:p>
          <w:p w14:paraId="6D9248DC">
            <w:pPr>
              <w:widowControl/>
              <w:rPr>
                <w:rFonts w:hint="eastAsia" w:ascii="宋体" w:hAnsi="宋体" w:cs="仿宋_GB2312"/>
                <w:sz w:val="24"/>
              </w:rPr>
            </w:pPr>
            <w:r>
              <w:rPr>
                <w:rFonts w:hint="eastAsia" w:ascii="宋体" w:hAnsi="宋体" w:cs="仿宋_GB2312"/>
                <w:sz w:val="24"/>
              </w:rPr>
              <w:t>协助进出口银行完成系统最终验收。</w:t>
            </w:r>
          </w:p>
          <w:p w14:paraId="2001FF28">
            <w:pPr>
              <w:widowControl/>
              <w:rPr>
                <w:rFonts w:hint="eastAsia" w:ascii="宋体" w:hAnsi="宋体" w:cs="仿宋_GB2312"/>
                <w:sz w:val="24"/>
              </w:rPr>
            </w:pPr>
            <w:r>
              <w:rPr>
                <w:rFonts w:hint="eastAsia" w:ascii="宋体" w:hAnsi="宋体" w:cs="仿宋_GB2312"/>
                <w:sz w:val="24"/>
              </w:rPr>
              <w:t>（十）第三方测试（如有）。</w:t>
            </w:r>
          </w:p>
          <w:p w14:paraId="07A67647">
            <w:pPr>
              <w:widowControl/>
              <w:rPr>
                <w:rFonts w:hint="eastAsia" w:ascii="宋体" w:hAnsi="宋体" w:cs="仿宋_GB2312"/>
                <w:sz w:val="24"/>
              </w:rPr>
            </w:pPr>
            <w:r>
              <w:rPr>
                <w:rFonts w:hint="eastAsia" w:ascii="宋体" w:hAnsi="宋体" w:cs="仿宋_GB2312"/>
                <w:sz w:val="24"/>
              </w:rPr>
              <w:t>负责准备测试对象的搭建及调试。</w:t>
            </w:r>
          </w:p>
          <w:p w14:paraId="181445FB">
            <w:pPr>
              <w:widowControl/>
              <w:rPr>
                <w:rFonts w:hint="eastAsia" w:ascii="宋体" w:hAnsi="宋体" w:cs="仿宋_GB2312"/>
                <w:sz w:val="24"/>
              </w:rPr>
            </w:pPr>
            <w:r>
              <w:rPr>
                <w:rFonts w:hint="eastAsia" w:ascii="宋体" w:hAnsi="宋体" w:cs="仿宋_GB2312"/>
                <w:sz w:val="24"/>
              </w:rPr>
              <w:t>负责按第三方测试要求准备测试数据。</w:t>
            </w:r>
          </w:p>
          <w:p w14:paraId="5CCD6CE6">
            <w:pPr>
              <w:widowControl/>
              <w:rPr>
                <w:rFonts w:hint="eastAsia" w:ascii="宋体" w:hAnsi="宋体" w:cs="仿宋_GB2312"/>
                <w:sz w:val="24"/>
              </w:rPr>
            </w:pPr>
            <w:r>
              <w:rPr>
                <w:rFonts w:hint="eastAsia" w:ascii="宋体" w:hAnsi="宋体" w:cs="仿宋_GB2312"/>
                <w:sz w:val="24"/>
              </w:rPr>
              <w:t>为第三方测试提供技术支持。</w:t>
            </w:r>
          </w:p>
          <w:p w14:paraId="4FD78EAB">
            <w:pPr>
              <w:rPr>
                <w:rFonts w:hint="eastAsia" w:ascii="宋体" w:hAnsi="宋体" w:cs="仿宋_GB2312"/>
                <w:sz w:val="24"/>
              </w:rPr>
            </w:pPr>
            <w:r>
              <w:rPr>
                <w:rFonts w:hint="eastAsia" w:ascii="宋体" w:hAnsi="宋体" w:cs="仿宋_GB2312"/>
                <w:sz w:val="24"/>
              </w:rPr>
              <w:t>负责缺陷修复。</w:t>
            </w:r>
          </w:p>
        </w:tc>
      </w:tr>
      <w:tr w14:paraId="0BD1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737E2A50">
            <w:pPr>
              <w:jc w:val="center"/>
              <w:rPr>
                <w:rFonts w:hint="eastAsia" w:ascii="宋体" w:hAnsi="宋体" w:cs="仿宋_GB2312"/>
                <w:sz w:val="24"/>
              </w:rPr>
            </w:pPr>
            <w:r>
              <w:rPr>
                <w:rFonts w:hint="eastAsia" w:ascii="宋体" w:hAnsi="宋体" w:cs="仿宋_GB2312"/>
                <w:sz w:val="24"/>
              </w:rPr>
              <w:t>8</w:t>
            </w:r>
          </w:p>
        </w:tc>
        <w:tc>
          <w:tcPr>
            <w:tcW w:w="1332" w:type="dxa"/>
            <w:vAlign w:val="center"/>
          </w:tcPr>
          <w:p w14:paraId="4A2A3A05">
            <w:pPr>
              <w:jc w:val="center"/>
              <w:rPr>
                <w:rFonts w:hint="eastAsia" w:ascii="宋体" w:hAnsi="宋体" w:cs="仿宋_GB2312"/>
                <w:sz w:val="24"/>
              </w:rPr>
            </w:pPr>
            <w:r>
              <w:rPr>
                <w:rFonts w:hint="eastAsia" w:ascii="宋体" w:hAnsi="宋体" w:cs="仿宋_GB2312"/>
                <w:sz w:val="24"/>
              </w:rPr>
              <w:t>培训及知识转移要求</w:t>
            </w:r>
          </w:p>
        </w:tc>
        <w:tc>
          <w:tcPr>
            <w:tcW w:w="6905" w:type="dxa"/>
          </w:tcPr>
          <w:p w14:paraId="5100AE81">
            <w:pPr>
              <w:widowControl/>
              <w:rPr>
                <w:rFonts w:hint="eastAsia" w:ascii="宋体" w:hAnsi="宋体" w:cs="仿宋_GB2312"/>
                <w:sz w:val="24"/>
              </w:rPr>
            </w:pPr>
            <w:r>
              <w:rPr>
                <w:rFonts w:hint="eastAsia" w:ascii="宋体" w:hAnsi="宋体" w:cs="仿宋_GB2312"/>
                <w:sz w:val="24"/>
              </w:rPr>
              <w:t>（一）培训对象：培训对象包括进出口银行的开发人员、系统运行维护管理人员，以及进出口银行指定的其他相关人员（包括第三方人员）。</w:t>
            </w:r>
          </w:p>
          <w:p w14:paraId="223358CA">
            <w:pPr>
              <w:widowControl/>
              <w:rPr>
                <w:rFonts w:hint="eastAsia" w:ascii="宋体" w:hAnsi="宋体" w:cs="仿宋_GB2312"/>
                <w:sz w:val="24"/>
              </w:rPr>
            </w:pPr>
            <w:r>
              <w:rPr>
                <w:rFonts w:hint="eastAsia" w:ascii="宋体" w:hAnsi="宋体" w:cs="仿宋_GB2312"/>
                <w:sz w:val="24"/>
              </w:rPr>
              <w:t>（二）培训目标：通过培训，应使上述人员：掌握系统提供的内容和功能，以及使用权限划分与操作方式；掌握本项目新客户化开发部分功能的二次开发能力。</w:t>
            </w:r>
          </w:p>
          <w:p w14:paraId="26E213A1">
            <w:pPr>
              <w:widowControl/>
              <w:rPr>
                <w:rFonts w:hint="eastAsia" w:ascii="宋体" w:hAnsi="宋体" w:cs="仿宋_GB2312"/>
                <w:sz w:val="24"/>
              </w:rPr>
            </w:pPr>
            <w:r>
              <w:rPr>
                <w:rFonts w:hint="eastAsia" w:ascii="宋体" w:hAnsi="宋体" w:cs="仿宋_GB2312"/>
                <w:sz w:val="24"/>
              </w:rPr>
              <w:t>（三）培训内容：供应商应具有知识和技术转移的意愿，并阐述详细的实际措施，以对项目实施阶段的参与者及项目最终的使用、开发和运维团队进行全面、有效的知识转移。供应商需提供系统在配置、开发、安装、使用、监控和维护等方面的培训。供应商须详细列出各阶段培训的服务清单，服务清单包括培训内容、授课方式、培训对象、时间计划安排和培训反馈处理等，对项目实施阶段的参与者及项目最终的使用、开发和运维团队进行全面、有效的知识转移，确保进出口银行形成一支熟悉系统运用、二次开发和维护的队伍。对于开发部分的知识和技术转移时间安排由采购人确定。</w:t>
            </w:r>
          </w:p>
          <w:p w14:paraId="4A17BD96">
            <w:pPr>
              <w:widowControl/>
              <w:rPr>
                <w:rFonts w:hint="eastAsia" w:ascii="宋体" w:hAnsi="宋体" w:cs="仿宋_GB2312"/>
                <w:sz w:val="24"/>
              </w:rPr>
            </w:pPr>
            <w:r>
              <w:rPr>
                <w:rFonts w:hint="eastAsia" w:ascii="宋体" w:hAnsi="宋体" w:cs="仿宋_GB2312"/>
                <w:sz w:val="24"/>
              </w:rPr>
              <w:t>（四）培训材料：供应商为所有被培训人员提供完备的文字资料（书面及电子版）和讲义（书面及电子版）等相关用品。</w:t>
            </w:r>
          </w:p>
        </w:tc>
      </w:tr>
    </w:tbl>
    <w:p w14:paraId="6C682DFA">
      <w:pPr>
        <w:spacing w:line="360" w:lineRule="auto"/>
        <w:ind w:firstLine="482" w:firstLineChars="200"/>
        <w:rPr>
          <w:rFonts w:hint="eastAsia" w:ascii="宋体" w:hAnsi="宋体" w:cs="楷体_GB2312"/>
          <w:b/>
          <w:bCs/>
          <w:sz w:val="24"/>
        </w:rPr>
      </w:pPr>
      <w:r>
        <w:rPr>
          <w:rFonts w:hint="eastAsia" w:ascii="宋体" w:hAnsi="宋体" w:cs="楷体_GB2312"/>
          <w:b/>
          <w:bCs/>
          <w:sz w:val="24"/>
        </w:rPr>
        <w:t>（二）主要交付物</w:t>
      </w:r>
    </w:p>
    <w:p w14:paraId="73B8D185">
      <w:pPr>
        <w:spacing w:line="360" w:lineRule="auto"/>
        <w:ind w:firstLine="480" w:firstLineChars="200"/>
        <w:rPr>
          <w:rFonts w:hint="eastAsia" w:ascii="宋体" w:hAnsi="宋体" w:cs="宋体"/>
          <w:sz w:val="24"/>
        </w:rPr>
      </w:pPr>
      <w:r>
        <w:rPr>
          <w:rFonts w:hint="eastAsia" w:ascii="宋体" w:hAnsi="宋体" w:cs="宋体"/>
          <w:sz w:val="24"/>
        </w:rPr>
        <w:t>在项目工作书中明确交付物类型、内容及交付形式，包含但不限于以下内容。</w:t>
      </w:r>
    </w:p>
    <w:tbl>
      <w:tblPr>
        <w:tblStyle w:val="4"/>
        <w:tblW w:w="4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6654"/>
      </w:tblGrid>
      <w:tr w14:paraId="687F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blHeader/>
          <w:jc w:val="center"/>
        </w:trPr>
        <w:tc>
          <w:tcPr>
            <w:tcW w:w="822" w:type="pct"/>
            <w:shd w:val="clear" w:color="auto" w:fill="BEBEBE"/>
            <w:vAlign w:val="center"/>
          </w:tcPr>
          <w:p w14:paraId="144AC558">
            <w:pPr>
              <w:jc w:val="center"/>
              <w:rPr>
                <w:rFonts w:hint="eastAsia" w:ascii="宋体" w:hAnsi="宋体" w:cs="仿宋_GB2312"/>
                <w:b/>
                <w:sz w:val="24"/>
              </w:rPr>
            </w:pPr>
            <w:r>
              <w:rPr>
                <w:rFonts w:hint="eastAsia" w:ascii="宋体" w:hAnsi="宋体" w:cs="仿宋_GB2312"/>
                <w:b/>
                <w:sz w:val="24"/>
              </w:rPr>
              <w:t>过程域</w:t>
            </w:r>
          </w:p>
        </w:tc>
        <w:tc>
          <w:tcPr>
            <w:tcW w:w="4178" w:type="pct"/>
            <w:shd w:val="clear" w:color="auto" w:fill="BEBEBE"/>
            <w:vAlign w:val="center"/>
          </w:tcPr>
          <w:p w14:paraId="13817559">
            <w:pPr>
              <w:jc w:val="center"/>
              <w:rPr>
                <w:rFonts w:hint="eastAsia" w:ascii="宋体" w:hAnsi="宋体" w:cs="仿宋_GB2312"/>
                <w:b/>
                <w:sz w:val="24"/>
              </w:rPr>
            </w:pPr>
            <w:r>
              <w:rPr>
                <w:rFonts w:hint="eastAsia" w:ascii="宋体" w:hAnsi="宋体" w:cs="仿宋_GB2312"/>
                <w:b/>
                <w:sz w:val="24"/>
              </w:rPr>
              <w:t>文档</w:t>
            </w:r>
          </w:p>
        </w:tc>
      </w:tr>
      <w:tr w14:paraId="69A8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restart"/>
            <w:vAlign w:val="center"/>
          </w:tcPr>
          <w:p w14:paraId="7FCC1B11">
            <w:pPr>
              <w:rPr>
                <w:rFonts w:hint="eastAsia" w:ascii="宋体" w:hAnsi="宋体" w:cs="仿宋_GB2312"/>
                <w:sz w:val="24"/>
              </w:rPr>
            </w:pPr>
            <w:r>
              <w:rPr>
                <w:rFonts w:hint="eastAsia" w:ascii="宋体" w:hAnsi="宋体" w:cs="仿宋_GB2312"/>
                <w:sz w:val="24"/>
              </w:rPr>
              <w:t>项目管理</w:t>
            </w:r>
          </w:p>
        </w:tc>
        <w:tc>
          <w:tcPr>
            <w:tcW w:w="4178" w:type="pct"/>
            <w:vAlign w:val="center"/>
          </w:tcPr>
          <w:p w14:paraId="54375442">
            <w:pPr>
              <w:rPr>
                <w:rFonts w:hint="eastAsia" w:ascii="宋体" w:hAnsi="宋体" w:cs="仿宋_GB2312"/>
                <w:sz w:val="24"/>
              </w:rPr>
            </w:pPr>
            <w:r>
              <w:rPr>
                <w:rFonts w:hint="eastAsia" w:ascii="宋体" w:hAnsi="宋体" w:cs="仿宋_GB2312"/>
                <w:sz w:val="24"/>
              </w:rPr>
              <w:t>《项目详细实施计划》</w:t>
            </w:r>
          </w:p>
        </w:tc>
      </w:tr>
      <w:tr w14:paraId="663A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79FF9D6B">
            <w:pPr>
              <w:rPr>
                <w:rFonts w:hint="eastAsia" w:ascii="宋体" w:hAnsi="宋体" w:cs="仿宋_GB2312"/>
                <w:sz w:val="24"/>
              </w:rPr>
            </w:pPr>
          </w:p>
        </w:tc>
        <w:tc>
          <w:tcPr>
            <w:tcW w:w="4178" w:type="pct"/>
            <w:vAlign w:val="center"/>
          </w:tcPr>
          <w:p w14:paraId="5E47093B">
            <w:pPr>
              <w:rPr>
                <w:rFonts w:hint="eastAsia" w:ascii="宋体" w:hAnsi="宋体" w:cs="仿宋_GB2312"/>
                <w:sz w:val="24"/>
              </w:rPr>
            </w:pPr>
            <w:r>
              <w:rPr>
                <w:rFonts w:hint="eastAsia" w:ascii="宋体" w:hAnsi="宋体" w:cs="仿宋_GB2312"/>
                <w:sz w:val="24"/>
              </w:rPr>
              <w:t>《项目质量审计报告》</w:t>
            </w:r>
          </w:p>
        </w:tc>
      </w:tr>
      <w:tr w14:paraId="39A8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5AB4D590">
            <w:pPr>
              <w:rPr>
                <w:rFonts w:hint="eastAsia" w:ascii="宋体" w:hAnsi="宋体" w:cs="仿宋_GB2312"/>
                <w:sz w:val="24"/>
              </w:rPr>
            </w:pPr>
          </w:p>
        </w:tc>
        <w:tc>
          <w:tcPr>
            <w:tcW w:w="4178" w:type="pct"/>
            <w:vAlign w:val="center"/>
          </w:tcPr>
          <w:p w14:paraId="6671DFEF">
            <w:pPr>
              <w:rPr>
                <w:rFonts w:hint="eastAsia" w:ascii="宋体" w:hAnsi="宋体" w:cs="仿宋_GB2312"/>
                <w:sz w:val="24"/>
              </w:rPr>
            </w:pPr>
            <w:r>
              <w:rPr>
                <w:rFonts w:hint="eastAsia" w:ascii="宋体" w:hAnsi="宋体" w:cs="仿宋_GB2312"/>
                <w:sz w:val="24"/>
              </w:rPr>
              <w:t>《关键人员简历》</w:t>
            </w:r>
            <w:r>
              <w:rPr>
                <w:rFonts w:hint="eastAsia" w:ascii="宋体" w:hAnsi="宋体" w:cs="仿宋_GB2312"/>
                <w:sz w:val="24"/>
              </w:rPr>
              <w:tab/>
            </w:r>
          </w:p>
        </w:tc>
      </w:tr>
      <w:tr w14:paraId="7AB3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19D5A502">
            <w:pPr>
              <w:rPr>
                <w:rFonts w:hint="eastAsia" w:ascii="宋体" w:hAnsi="宋体" w:cs="仿宋_GB2312"/>
                <w:sz w:val="24"/>
              </w:rPr>
            </w:pPr>
          </w:p>
        </w:tc>
        <w:tc>
          <w:tcPr>
            <w:tcW w:w="4178" w:type="pct"/>
            <w:vAlign w:val="center"/>
          </w:tcPr>
          <w:p w14:paraId="3427ECC8">
            <w:pPr>
              <w:rPr>
                <w:rFonts w:hint="eastAsia" w:ascii="宋体" w:hAnsi="宋体" w:cs="仿宋_GB2312"/>
                <w:sz w:val="24"/>
              </w:rPr>
            </w:pPr>
            <w:r>
              <w:rPr>
                <w:rFonts w:hint="eastAsia" w:ascii="宋体" w:hAnsi="宋体" w:cs="仿宋_GB2312"/>
                <w:sz w:val="24"/>
              </w:rPr>
              <w:t>《关键人员人力资源变动报告》</w:t>
            </w:r>
          </w:p>
        </w:tc>
      </w:tr>
      <w:tr w14:paraId="6070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55D5EB27">
            <w:pPr>
              <w:rPr>
                <w:rFonts w:hint="eastAsia" w:ascii="宋体" w:hAnsi="宋体" w:cs="仿宋_GB2312"/>
                <w:sz w:val="24"/>
              </w:rPr>
            </w:pPr>
          </w:p>
        </w:tc>
        <w:tc>
          <w:tcPr>
            <w:tcW w:w="4178" w:type="pct"/>
            <w:vAlign w:val="center"/>
          </w:tcPr>
          <w:p w14:paraId="0AAB15CE">
            <w:pPr>
              <w:rPr>
                <w:rFonts w:hint="eastAsia" w:ascii="宋体" w:hAnsi="宋体" w:cs="仿宋_GB2312"/>
                <w:sz w:val="24"/>
              </w:rPr>
            </w:pPr>
            <w:r>
              <w:rPr>
                <w:rFonts w:hint="eastAsia" w:ascii="宋体" w:hAnsi="宋体" w:cs="仿宋_GB2312"/>
                <w:sz w:val="24"/>
              </w:rPr>
              <w:t>项目状态报告：日常管理采用周报</w:t>
            </w:r>
          </w:p>
        </w:tc>
      </w:tr>
      <w:tr w14:paraId="234A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restart"/>
            <w:vAlign w:val="center"/>
          </w:tcPr>
          <w:p w14:paraId="4DCBDA72">
            <w:pPr>
              <w:rPr>
                <w:rFonts w:hint="eastAsia" w:ascii="宋体" w:hAnsi="宋体" w:cs="仿宋_GB2312"/>
                <w:sz w:val="24"/>
              </w:rPr>
            </w:pPr>
            <w:r>
              <w:rPr>
                <w:rFonts w:hint="eastAsia" w:ascii="宋体" w:hAnsi="宋体" w:cs="仿宋_GB2312"/>
                <w:sz w:val="24"/>
              </w:rPr>
              <w:t>需求分析</w:t>
            </w:r>
          </w:p>
        </w:tc>
        <w:tc>
          <w:tcPr>
            <w:tcW w:w="4178" w:type="pct"/>
          </w:tcPr>
          <w:p w14:paraId="20882D9E">
            <w:pPr>
              <w:rPr>
                <w:rFonts w:hint="eastAsia" w:ascii="宋体" w:hAnsi="宋体" w:cs="仿宋_GB2312"/>
                <w:sz w:val="24"/>
              </w:rPr>
            </w:pPr>
            <w:r>
              <w:rPr>
                <w:rFonts w:hint="eastAsia" w:ascii="宋体" w:hAnsi="宋体" w:cs="仿宋_GB2312"/>
                <w:sz w:val="24"/>
              </w:rPr>
              <w:t>《功能需求规格说明书》</w:t>
            </w:r>
            <w:r>
              <w:rPr>
                <w:rFonts w:hint="eastAsia" w:ascii="宋体" w:hAnsi="宋体" w:cs="仿宋_GB2312"/>
                <w:sz w:val="24"/>
              </w:rPr>
              <w:tab/>
            </w:r>
          </w:p>
        </w:tc>
      </w:tr>
      <w:tr w14:paraId="1B23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0924E5DF">
            <w:pPr>
              <w:rPr>
                <w:rFonts w:hint="eastAsia" w:ascii="宋体" w:hAnsi="宋体" w:cs="仿宋_GB2312"/>
                <w:sz w:val="24"/>
              </w:rPr>
            </w:pPr>
          </w:p>
        </w:tc>
        <w:tc>
          <w:tcPr>
            <w:tcW w:w="4178" w:type="pct"/>
          </w:tcPr>
          <w:p w14:paraId="67935B53">
            <w:pPr>
              <w:rPr>
                <w:rFonts w:hint="eastAsia" w:ascii="宋体" w:hAnsi="宋体" w:cs="仿宋_GB2312"/>
                <w:sz w:val="24"/>
              </w:rPr>
            </w:pPr>
            <w:r>
              <w:rPr>
                <w:rFonts w:hint="eastAsia" w:ascii="宋体" w:hAnsi="宋体" w:cs="仿宋_GB2312"/>
                <w:sz w:val="24"/>
              </w:rPr>
              <w:t>《非功能需求规格说明书》（如有）</w:t>
            </w:r>
          </w:p>
        </w:tc>
      </w:tr>
      <w:tr w14:paraId="71F8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restart"/>
            <w:vAlign w:val="center"/>
          </w:tcPr>
          <w:p w14:paraId="38E599BE">
            <w:pPr>
              <w:rPr>
                <w:rFonts w:hint="eastAsia" w:ascii="宋体" w:hAnsi="宋体" w:cs="仿宋_GB2312"/>
                <w:sz w:val="24"/>
              </w:rPr>
            </w:pPr>
            <w:r>
              <w:rPr>
                <w:rFonts w:hint="eastAsia" w:ascii="宋体" w:hAnsi="宋体" w:cs="仿宋_GB2312"/>
                <w:sz w:val="24"/>
              </w:rPr>
              <w:t>设计</w:t>
            </w:r>
          </w:p>
        </w:tc>
        <w:tc>
          <w:tcPr>
            <w:tcW w:w="4178" w:type="pct"/>
          </w:tcPr>
          <w:p w14:paraId="5B47F114">
            <w:pPr>
              <w:rPr>
                <w:rFonts w:hint="eastAsia" w:ascii="宋体" w:hAnsi="宋体" w:cs="仿宋_GB2312"/>
                <w:sz w:val="24"/>
              </w:rPr>
            </w:pPr>
            <w:r>
              <w:rPr>
                <w:rFonts w:hint="eastAsia" w:ascii="宋体" w:hAnsi="宋体" w:cs="仿宋_GB2312"/>
                <w:sz w:val="24"/>
              </w:rPr>
              <w:t>《概要设计说明书》</w:t>
            </w:r>
          </w:p>
        </w:tc>
      </w:tr>
      <w:tr w14:paraId="65B9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622FA2F1">
            <w:pPr>
              <w:rPr>
                <w:rFonts w:hint="eastAsia" w:ascii="宋体" w:hAnsi="宋体" w:cs="仿宋_GB2312"/>
                <w:sz w:val="24"/>
              </w:rPr>
            </w:pPr>
          </w:p>
        </w:tc>
        <w:tc>
          <w:tcPr>
            <w:tcW w:w="4178" w:type="pct"/>
          </w:tcPr>
          <w:p w14:paraId="588AF3DB">
            <w:pPr>
              <w:rPr>
                <w:rFonts w:hint="eastAsia" w:ascii="宋体" w:hAnsi="宋体" w:cs="仿宋_GB2312"/>
                <w:sz w:val="24"/>
              </w:rPr>
            </w:pPr>
            <w:r>
              <w:rPr>
                <w:rFonts w:hint="eastAsia" w:ascii="宋体" w:hAnsi="宋体" w:cs="仿宋_GB2312"/>
                <w:sz w:val="24"/>
              </w:rPr>
              <w:t>《详细设计说明书》</w:t>
            </w:r>
          </w:p>
        </w:tc>
      </w:tr>
      <w:tr w14:paraId="6B6B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2B8C0E19">
            <w:pPr>
              <w:rPr>
                <w:rFonts w:hint="eastAsia" w:ascii="宋体" w:hAnsi="宋体" w:cs="仿宋_GB2312"/>
                <w:sz w:val="24"/>
              </w:rPr>
            </w:pPr>
          </w:p>
        </w:tc>
        <w:tc>
          <w:tcPr>
            <w:tcW w:w="4178" w:type="pct"/>
          </w:tcPr>
          <w:p w14:paraId="37058FD4">
            <w:pPr>
              <w:rPr>
                <w:rFonts w:hint="eastAsia" w:ascii="宋体" w:hAnsi="宋体" w:cs="仿宋_GB2312"/>
                <w:sz w:val="24"/>
              </w:rPr>
            </w:pPr>
            <w:r>
              <w:rPr>
                <w:rFonts w:hint="eastAsia" w:ascii="宋体" w:hAnsi="宋体" w:cs="仿宋_GB2312"/>
                <w:sz w:val="24"/>
              </w:rPr>
              <w:t>应用系统部署架构（如有）</w:t>
            </w:r>
          </w:p>
        </w:tc>
      </w:tr>
      <w:tr w14:paraId="0A21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155D778C">
            <w:pPr>
              <w:rPr>
                <w:rFonts w:hint="eastAsia" w:ascii="宋体" w:hAnsi="宋体" w:cs="仿宋_GB2312"/>
                <w:sz w:val="24"/>
              </w:rPr>
            </w:pPr>
          </w:p>
        </w:tc>
        <w:tc>
          <w:tcPr>
            <w:tcW w:w="4178" w:type="pct"/>
          </w:tcPr>
          <w:p w14:paraId="3DC00236">
            <w:pPr>
              <w:rPr>
                <w:rFonts w:hint="eastAsia" w:ascii="宋体" w:hAnsi="宋体" w:cs="仿宋_GB2312"/>
                <w:sz w:val="24"/>
              </w:rPr>
            </w:pPr>
            <w:r>
              <w:rPr>
                <w:rFonts w:hint="eastAsia" w:ascii="宋体" w:hAnsi="宋体" w:cs="仿宋_GB2312"/>
                <w:sz w:val="24"/>
              </w:rPr>
              <w:t>基础软硬件配置清单（如有）</w:t>
            </w:r>
          </w:p>
        </w:tc>
      </w:tr>
      <w:tr w14:paraId="3F3A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restart"/>
            <w:vAlign w:val="center"/>
          </w:tcPr>
          <w:p w14:paraId="49429319">
            <w:pPr>
              <w:rPr>
                <w:rFonts w:hint="eastAsia" w:ascii="宋体" w:hAnsi="宋体" w:cs="仿宋_GB2312"/>
                <w:sz w:val="24"/>
              </w:rPr>
            </w:pPr>
            <w:r>
              <w:rPr>
                <w:rFonts w:hint="eastAsia" w:ascii="宋体" w:hAnsi="宋体" w:cs="仿宋_GB2312"/>
                <w:sz w:val="24"/>
              </w:rPr>
              <w:t>开发</w:t>
            </w:r>
          </w:p>
        </w:tc>
        <w:tc>
          <w:tcPr>
            <w:tcW w:w="4178" w:type="pct"/>
          </w:tcPr>
          <w:p w14:paraId="1A11FD9A">
            <w:pPr>
              <w:rPr>
                <w:rFonts w:hint="eastAsia" w:ascii="宋体" w:hAnsi="宋体" w:cs="仿宋_GB2312"/>
                <w:sz w:val="24"/>
              </w:rPr>
            </w:pPr>
            <w:r>
              <w:rPr>
                <w:rFonts w:hint="eastAsia" w:ascii="宋体" w:hAnsi="宋体" w:cs="仿宋_GB2312"/>
                <w:sz w:val="24"/>
              </w:rPr>
              <w:t>《单元测试案例》</w:t>
            </w:r>
          </w:p>
        </w:tc>
      </w:tr>
      <w:tr w14:paraId="6D04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4A74E68F">
            <w:pPr>
              <w:rPr>
                <w:rFonts w:hint="eastAsia" w:ascii="宋体" w:hAnsi="宋体" w:cs="仿宋_GB2312"/>
                <w:sz w:val="24"/>
              </w:rPr>
            </w:pPr>
          </w:p>
        </w:tc>
        <w:tc>
          <w:tcPr>
            <w:tcW w:w="4178" w:type="pct"/>
          </w:tcPr>
          <w:p w14:paraId="01BDE4EE">
            <w:pPr>
              <w:rPr>
                <w:rFonts w:hint="eastAsia" w:ascii="宋体" w:hAnsi="宋体" w:cs="仿宋_GB2312"/>
                <w:sz w:val="24"/>
              </w:rPr>
            </w:pPr>
            <w:r>
              <w:rPr>
                <w:rFonts w:hint="eastAsia" w:ascii="宋体" w:hAnsi="宋体" w:cs="仿宋_GB2312"/>
                <w:sz w:val="24"/>
              </w:rPr>
              <w:t>《系统内集成测试案例》</w:t>
            </w:r>
          </w:p>
        </w:tc>
      </w:tr>
      <w:tr w14:paraId="39F0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51FD1864">
            <w:pPr>
              <w:rPr>
                <w:rFonts w:hint="eastAsia" w:ascii="宋体" w:hAnsi="宋体" w:cs="仿宋_GB2312"/>
                <w:sz w:val="24"/>
              </w:rPr>
            </w:pPr>
          </w:p>
        </w:tc>
        <w:tc>
          <w:tcPr>
            <w:tcW w:w="4178" w:type="pct"/>
          </w:tcPr>
          <w:p w14:paraId="759D9881">
            <w:pPr>
              <w:rPr>
                <w:rFonts w:hint="eastAsia" w:ascii="宋体" w:hAnsi="宋体" w:cs="仿宋_GB2312"/>
                <w:sz w:val="24"/>
              </w:rPr>
            </w:pPr>
            <w:r>
              <w:rPr>
                <w:rFonts w:hint="eastAsia" w:ascii="宋体" w:hAnsi="宋体" w:cs="仿宋_GB2312"/>
                <w:sz w:val="24"/>
              </w:rPr>
              <w:t>《系统内集成测试报告》</w:t>
            </w:r>
          </w:p>
        </w:tc>
      </w:tr>
      <w:tr w14:paraId="7FBC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822" w:type="pct"/>
            <w:vMerge w:val="restart"/>
            <w:vAlign w:val="center"/>
          </w:tcPr>
          <w:p w14:paraId="5B89008C">
            <w:pPr>
              <w:rPr>
                <w:rFonts w:hint="eastAsia" w:ascii="宋体" w:hAnsi="宋体" w:cs="仿宋_GB2312"/>
                <w:sz w:val="24"/>
              </w:rPr>
            </w:pPr>
            <w:r>
              <w:rPr>
                <w:rFonts w:hint="eastAsia" w:ascii="宋体" w:hAnsi="宋体" w:cs="仿宋_GB2312"/>
                <w:sz w:val="24"/>
              </w:rPr>
              <w:t>测试</w:t>
            </w:r>
          </w:p>
        </w:tc>
        <w:tc>
          <w:tcPr>
            <w:tcW w:w="4178" w:type="pct"/>
          </w:tcPr>
          <w:p w14:paraId="31E6D66C">
            <w:pPr>
              <w:rPr>
                <w:rFonts w:hint="eastAsia" w:ascii="宋体" w:hAnsi="宋体" w:cs="仿宋_GB2312"/>
                <w:sz w:val="24"/>
              </w:rPr>
            </w:pPr>
            <w:r>
              <w:rPr>
                <w:rFonts w:hint="eastAsia" w:ascii="宋体" w:hAnsi="宋体" w:cs="仿宋_GB2312"/>
                <w:sz w:val="24"/>
              </w:rPr>
              <w:t>《应用组装测试案例》</w:t>
            </w:r>
          </w:p>
        </w:tc>
      </w:tr>
      <w:tr w14:paraId="0DAF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07FA37E8">
            <w:pPr>
              <w:rPr>
                <w:rFonts w:hint="eastAsia" w:ascii="宋体" w:hAnsi="宋体" w:cs="仿宋_GB2312"/>
                <w:sz w:val="24"/>
              </w:rPr>
            </w:pPr>
          </w:p>
        </w:tc>
        <w:tc>
          <w:tcPr>
            <w:tcW w:w="4178" w:type="pct"/>
          </w:tcPr>
          <w:p w14:paraId="253F6FC3">
            <w:pPr>
              <w:rPr>
                <w:rFonts w:hint="eastAsia" w:ascii="宋体" w:hAnsi="宋体" w:cs="仿宋_GB2312"/>
                <w:sz w:val="24"/>
              </w:rPr>
            </w:pPr>
            <w:r>
              <w:rPr>
                <w:rFonts w:hint="eastAsia" w:ascii="宋体" w:hAnsi="宋体" w:cs="仿宋_GB2312"/>
                <w:sz w:val="24"/>
              </w:rPr>
              <w:t>《应用组装测试报告》</w:t>
            </w:r>
            <w:r>
              <w:rPr>
                <w:rFonts w:hint="eastAsia" w:ascii="宋体" w:hAnsi="宋体" w:cs="仿宋_GB2312"/>
                <w:sz w:val="24"/>
              </w:rPr>
              <w:tab/>
            </w:r>
          </w:p>
        </w:tc>
      </w:tr>
      <w:tr w14:paraId="706B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1A1C5592">
            <w:pPr>
              <w:rPr>
                <w:rFonts w:hint="eastAsia" w:ascii="宋体" w:hAnsi="宋体" w:cs="仿宋_GB2312"/>
                <w:sz w:val="24"/>
              </w:rPr>
            </w:pPr>
          </w:p>
        </w:tc>
        <w:tc>
          <w:tcPr>
            <w:tcW w:w="4178" w:type="pct"/>
          </w:tcPr>
          <w:p w14:paraId="4C0B8147">
            <w:pPr>
              <w:rPr>
                <w:rFonts w:hint="eastAsia" w:ascii="宋体" w:hAnsi="宋体" w:cs="仿宋_GB2312"/>
                <w:sz w:val="24"/>
              </w:rPr>
            </w:pPr>
            <w:r>
              <w:rPr>
                <w:rFonts w:hint="eastAsia" w:ascii="宋体" w:hAnsi="宋体" w:cs="仿宋_GB2312"/>
                <w:sz w:val="24"/>
              </w:rPr>
              <w:t>通过用户验收测试后的源代码</w:t>
            </w:r>
          </w:p>
        </w:tc>
      </w:tr>
      <w:tr w14:paraId="3521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restart"/>
            <w:vAlign w:val="center"/>
          </w:tcPr>
          <w:p w14:paraId="63413659">
            <w:pPr>
              <w:rPr>
                <w:rFonts w:hint="eastAsia" w:ascii="宋体" w:hAnsi="宋体" w:cs="仿宋_GB2312"/>
                <w:sz w:val="24"/>
              </w:rPr>
            </w:pPr>
            <w:r>
              <w:rPr>
                <w:rFonts w:hint="eastAsia" w:ascii="宋体" w:hAnsi="宋体" w:cs="仿宋_GB2312"/>
                <w:sz w:val="24"/>
              </w:rPr>
              <w:t>业务培训</w:t>
            </w:r>
          </w:p>
        </w:tc>
        <w:tc>
          <w:tcPr>
            <w:tcW w:w="4178" w:type="pct"/>
          </w:tcPr>
          <w:p w14:paraId="57CED729">
            <w:pPr>
              <w:rPr>
                <w:rFonts w:hint="eastAsia" w:ascii="宋体" w:hAnsi="宋体" w:cs="仿宋_GB2312"/>
                <w:sz w:val="24"/>
              </w:rPr>
            </w:pPr>
            <w:r>
              <w:rPr>
                <w:rFonts w:hint="eastAsia" w:ascii="宋体" w:hAnsi="宋体" w:cs="仿宋_GB2312"/>
                <w:sz w:val="24"/>
              </w:rPr>
              <w:t>《培训讲义》（如有）</w:t>
            </w:r>
          </w:p>
        </w:tc>
      </w:tr>
      <w:tr w14:paraId="1C03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55408C4D">
            <w:pPr>
              <w:rPr>
                <w:rFonts w:hint="eastAsia" w:ascii="宋体" w:hAnsi="宋体" w:cs="仿宋_GB2312"/>
                <w:sz w:val="24"/>
              </w:rPr>
            </w:pPr>
          </w:p>
        </w:tc>
        <w:tc>
          <w:tcPr>
            <w:tcW w:w="4178" w:type="pct"/>
          </w:tcPr>
          <w:p w14:paraId="28533ACB">
            <w:pPr>
              <w:rPr>
                <w:rFonts w:hint="eastAsia" w:ascii="宋体" w:hAnsi="宋体" w:cs="仿宋_GB2312"/>
                <w:sz w:val="24"/>
              </w:rPr>
            </w:pPr>
            <w:r>
              <w:rPr>
                <w:rFonts w:hint="eastAsia" w:ascii="宋体" w:hAnsi="宋体" w:cs="仿宋_GB2312"/>
                <w:sz w:val="24"/>
              </w:rPr>
              <w:t>《用户操作手册》（如有）</w:t>
            </w:r>
          </w:p>
        </w:tc>
      </w:tr>
      <w:tr w14:paraId="30DF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Align w:val="center"/>
          </w:tcPr>
          <w:p w14:paraId="45108083">
            <w:pPr>
              <w:rPr>
                <w:rFonts w:hint="eastAsia" w:ascii="宋体" w:hAnsi="宋体" w:cs="仿宋_GB2312"/>
                <w:sz w:val="24"/>
              </w:rPr>
            </w:pPr>
            <w:r>
              <w:rPr>
                <w:rFonts w:hint="eastAsia" w:ascii="宋体" w:hAnsi="宋体" w:cs="仿宋_GB2312"/>
                <w:sz w:val="24"/>
              </w:rPr>
              <w:t>技术培训</w:t>
            </w:r>
          </w:p>
        </w:tc>
        <w:tc>
          <w:tcPr>
            <w:tcW w:w="4178" w:type="pct"/>
          </w:tcPr>
          <w:p w14:paraId="251EFD14">
            <w:pPr>
              <w:rPr>
                <w:rFonts w:hint="eastAsia" w:ascii="宋体" w:hAnsi="宋体" w:cs="仿宋_GB2312"/>
                <w:sz w:val="24"/>
              </w:rPr>
            </w:pPr>
            <w:r>
              <w:rPr>
                <w:rFonts w:hint="eastAsia" w:ascii="宋体" w:hAnsi="宋体" w:cs="仿宋_GB2312"/>
                <w:sz w:val="24"/>
              </w:rPr>
              <w:t>《培训讲义》（如有）</w:t>
            </w:r>
          </w:p>
        </w:tc>
      </w:tr>
      <w:tr w14:paraId="6C5B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restart"/>
            <w:vAlign w:val="center"/>
          </w:tcPr>
          <w:p w14:paraId="11E745D7">
            <w:pPr>
              <w:rPr>
                <w:rFonts w:hint="eastAsia" w:ascii="宋体" w:hAnsi="宋体" w:cs="仿宋_GB2312"/>
                <w:sz w:val="24"/>
              </w:rPr>
            </w:pPr>
            <w:r>
              <w:rPr>
                <w:rFonts w:hint="eastAsia" w:ascii="宋体" w:hAnsi="宋体" w:cs="仿宋_GB2312"/>
                <w:sz w:val="24"/>
              </w:rPr>
              <w:t>系统投产</w:t>
            </w:r>
          </w:p>
        </w:tc>
        <w:tc>
          <w:tcPr>
            <w:tcW w:w="4178" w:type="pct"/>
          </w:tcPr>
          <w:p w14:paraId="706EF935">
            <w:pPr>
              <w:rPr>
                <w:rFonts w:hint="eastAsia" w:ascii="宋体" w:hAnsi="宋体" w:cs="仿宋_GB2312"/>
                <w:sz w:val="24"/>
              </w:rPr>
            </w:pPr>
            <w:r>
              <w:rPr>
                <w:rFonts w:hint="eastAsia" w:ascii="宋体" w:hAnsi="宋体" w:cs="仿宋_GB2312"/>
                <w:sz w:val="24"/>
              </w:rPr>
              <w:t>《投产任务跟踪表》（按版本）</w:t>
            </w:r>
          </w:p>
        </w:tc>
      </w:tr>
      <w:tr w14:paraId="2BB3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073D41DC">
            <w:pPr>
              <w:rPr>
                <w:rFonts w:hint="eastAsia" w:ascii="宋体" w:hAnsi="宋体" w:cs="仿宋_GB2312"/>
                <w:sz w:val="24"/>
              </w:rPr>
            </w:pPr>
          </w:p>
        </w:tc>
        <w:tc>
          <w:tcPr>
            <w:tcW w:w="4178" w:type="pct"/>
          </w:tcPr>
          <w:p w14:paraId="54145955">
            <w:pPr>
              <w:rPr>
                <w:rFonts w:hint="eastAsia" w:ascii="宋体" w:hAnsi="宋体" w:cs="仿宋_GB2312"/>
                <w:sz w:val="24"/>
              </w:rPr>
            </w:pPr>
            <w:r>
              <w:rPr>
                <w:rFonts w:hint="eastAsia" w:ascii="宋体" w:hAnsi="宋体" w:cs="仿宋_GB2312"/>
                <w:sz w:val="24"/>
              </w:rPr>
              <w:t>《操作控制表》</w:t>
            </w:r>
          </w:p>
        </w:tc>
      </w:tr>
      <w:tr w14:paraId="17C2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2F782E40">
            <w:pPr>
              <w:rPr>
                <w:rFonts w:hint="eastAsia" w:ascii="宋体" w:hAnsi="宋体" w:cs="仿宋_GB2312"/>
                <w:sz w:val="24"/>
              </w:rPr>
            </w:pPr>
          </w:p>
        </w:tc>
        <w:tc>
          <w:tcPr>
            <w:tcW w:w="4178" w:type="pct"/>
          </w:tcPr>
          <w:p w14:paraId="3093236B">
            <w:pPr>
              <w:rPr>
                <w:rFonts w:hint="eastAsia" w:ascii="宋体" w:hAnsi="宋体" w:cs="仿宋_GB2312"/>
                <w:sz w:val="24"/>
              </w:rPr>
            </w:pPr>
            <w:r>
              <w:rPr>
                <w:rFonts w:hint="eastAsia" w:ascii="宋体" w:hAnsi="宋体" w:cs="仿宋_GB2312"/>
                <w:sz w:val="24"/>
              </w:rPr>
              <w:t>待投产的应用程序版本</w:t>
            </w:r>
          </w:p>
        </w:tc>
      </w:tr>
      <w:tr w14:paraId="4EC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1EE8F44B">
            <w:pPr>
              <w:rPr>
                <w:rFonts w:hint="eastAsia" w:ascii="宋体" w:hAnsi="宋体" w:cs="仿宋_GB2312"/>
                <w:sz w:val="24"/>
              </w:rPr>
            </w:pPr>
          </w:p>
        </w:tc>
        <w:tc>
          <w:tcPr>
            <w:tcW w:w="4178" w:type="pct"/>
          </w:tcPr>
          <w:p w14:paraId="69F09D1D">
            <w:pPr>
              <w:rPr>
                <w:rFonts w:hint="eastAsia" w:ascii="宋体" w:hAnsi="宋体" w:cs="仿宋_GB2312"/>
                <w:sz w:val="24"/>
              </w:rPr>
            </w:pPr>
            <w:r>
              <w:rPr>
                <w:rFonts w:hint="eastAsia" w:ascii="宋体" w:hAnsi="宋体" w:cs="仿宋_GB2312"/>
                <w:sz w:val="24"/>
              </w:rPr>
              <w:t>《应急预案》（如有）</w:t>
            </w:r>
          </w:p>
        </w:tc>
      </w:tr>
      <w:tr w14:paraId="1B92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735B3AE1">
            <w:pPr>
              <w:rPr>
                <w:rFonts w:hint="eastAsia" w:ascii="宋体" w:hAnsi="宋体" w:cs="仿宋_GB2312"/>
                <w:sz w:val="24"/>
              </w:rPr>
            </w:pPr>
          </w:p>
        </w:tc>
        <w:tc>
          <w:tcPr>
            <w:tcW w:w="4178" w:type="pct"/>
          </w:tcPr>
          <w:p w14:paraId="0DEEC1ED">
            <w:pPr>
              <w:rPr>
                <w:rFonts w:hint="eastAsia" w:ascii="宋体" w:hAnsi="宋体" w:cs="仿宋_GB2312"/>
                <w:sz w:val="24"/>
              </w:rPr>
            </w:pPr>
            <w:r>
              <w:rPr>
                <w:rFonts w:hint="eastAsia" w:ascii="宋体" w:hAnsi="宋体" w:cs="仿宋_GB2312"/>
                <w:sz w:val="24"/>
              </w:rPr>
              <w:t>《投产报告》（按版本）</w:t>
            </w:r>
          </w:p>
        </w:tc>
      </w:tr>
      <w:tr w14:paraId="1CED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59C8C5CB">
            <w:pPr>
              <w:rPr>
                <w:rFonts w:hint="eastAsia" w:ascii="宋体" w:hAnsi="宋体" w:cs="仿宋_GB2312"/>
                <w:sz w:val="24"/>
              </w:rPr>
            </w:pPr>
          </w:p>
        </w:tc>
        <w:tc>
          <w:tcPr>
            <w:tcW w:w="4178" w:type="pct"/>
          </w:tcPr>
          <w:p w14:paraId="0658EF9D">
            <w:pPr>
              <w:rPr>
                <w:rFonts w:hint="eastAsia" w:ascii="宋体" w:hAnsi="宋体" w:cs="仿宋_GB2312"/>
                <w:sz w:val="24"/>
              </w:rPr>
            </w:pPr>
            <w:r>
              <w:rPr>
                <w:rFonts w:hint="eastAsia" w:ascii="宋体" w:hAnsi="宋体" w:cs="仿宋_GB2312"/>
                <w:sz w:val="24"/>
              </w:rPr>
              <w:t>《运维手册》、《日志报错代码表》、《批量手册》、《监控手册》、《知识库》（如有）</w:t>
            </w:r>
          </w:p>
        </w:tc>
      </w:tr>
      <w:tr w14:paraId="60CA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restart"/>
            <w:vAlign w:val="center"/>
          </w:tcPr>
          <w:p w14:paraId="4FC9EE21">
            <w:pPr>
              <w:rPr>
                <w:rFonts w:hint="eastAsia" w:ascii="宋体" w:hAnsi="宋体" w:cs="仿宋_GB2312"/>
                <w:sz w:val="24"/>
              </w:rPr>
            </w:pPr>
            <w:r>
              <w:rPr>
                <w:rFonts w:hint="eastAsia" w:ascii="宋体" w:hAnsi="宋体" w:cs="仿宋_GB2312"/>
                <w:sz w:val="24"/>
              </w:rPr>
              <w:t>系统应用维护</w:t>
            </w:r>
          </w:p>
        </w:tc>
        <w:tc>
          <w:tcPr>
            <w:tcW w:w="4178" w:type="pct"/>
          </w:tcPr>
          <w:p w14:paraId="10C14042">
            <w:pPr>
              <w:rPr>
                <w:rFonts w:hint="eastAsia" w:ascii="宋体" w:hAnsi="宋体" w:cs="仿宋_GB2312"/>
                <w:sz w:val="24"/>
              </w:rPr>
            </w:pPr>
            <w:r>
              <w:rPr>
                <w:rFonts w:hint="eastAsia" w:ascii="宋体" w:hAnsi="宋体" w:cs="仿宋_GB2312"/>
                <w:sz w:val="24"/>
              </w:rPr>
              <w:t>知识转移文档：《运维手册》（含《日志存储备份清理方案》等日常运维的必要件）、《日志报错代码表》、《批量手册》、《监控手册》（如有）</w:t>
            </w:r>
          </w:p>
        </w:tc>
      </w:tr>
      <w:tr w14:paraId="08E5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6090109F">
            <w:pPr>
              <w:rPr>
                <w:rFonts w:hint="eastAsia" w:ascii="宋体" w:hAnsi="宋体" w:cs="仿宋_GB2312"/>
                <w:sz w:val="24"/>
              </w:rPr>
            </w:pPr>
          </w:p>
        </w:tc>
        <w:tc>
          <w:tcPr>
            <w:tcW w:w="4178" w:type="pct"/>
          </w:tcPr>
          <w:p w14:paraId="11DA907C">
            <w:pPr>
              <w:rPr>
                <w:rFonts w:hint="eastAsia" w:ascii="宋体" w:hAnsi="宋体" w:cs="仿宋_GB2312"/>
                <w:sz w:val="24"/>
              </w:rPr>
            </w:pPr>
            <w:r>
              <w:rPr>
                <w:rFonts w:hint="eastAsia" w:ascii="宋体" w:hAnsi="宋体" w:cs="仿宋_GB2312"/>
                <w:sz w:val="24"/>
              </w:rPr>
              <w:t>知识库（包含《上线运行问题报告和问题跟踪表》、《重大问题分析报告》（如有））</w:t>
            </w:r>
          </w:p>
        </w:tc>
      </w:tr>
      <w:tr w14:paraId="12D1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6E52193C">
            <w:pPr>
              <w:rPr>
                <w:rFonts w:hint="eastAsia" w:ascii="宋体" w:hAnsi="宋体" w:cs="仿宋_GB2312"/>
                <w:sz w:val="24"/>
              </w:rPr>
            </w:pPr>
          </w:p>
        </w:tc>
        <w:tc>
          <w:tcPr>
            <w:tcW w:w="4178" w:type="pct"/>
          </w:tcPr>
          <w:p w14:paraId="5E9EF2B4">
            <w:pPr>
              <w:rPr>
                <w:rFonts w:hint="eastAsia" w:ascii="宋体" w:hAnsi="宋体" w:cs="仿宋_GB2312"/>
                <w:sz w:val="24"/>
              </w:rPr>
            </w:pPr>
            <w:r>
              <w:rPr>
                <w:rFonts w:hint="eastAsia" w:ascii="宋体" w:hAnsi="宋体" w:cs="仿宋_GB2312"/>
                <w:sz w:val="24"/>
              </w:rPr>
              <w:t>《维护期总结报告》</w:t>
            </w:r>
          </w:p>
        </w:tc>
      </w:tr>
      <w:tr w14:paraId="180D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2" w:type="pct"/>
            <w:vMerge w:val="continue"/>
            <w:vAlign w:val="center"/>
          </w:tcPr>
          <w:p w14:paraId="16353100">
            <w:pPr>
              <w:rPr>
                <w:rFonts w:hint="eastAsia" w:ascii="宋体" w:hAnsi="宋体" w:cs="仿宋_GB2312"/>
                <w:sz w:val="24"/>
              </w:rPr>
            </w:pPr>
          </w:p>
        </w:tc>
        <w:tc>
          <w:tcPr>
            <w:tcW w:w="4178" w:type="pct"/>
          </w:tcPr>
          <w:p w14:paraId="11A59336">
            <w:pPr>
              <w:rPr>
                <w:rFonts w:hint="eastAsia" w:ascii="宋体" w:hAnsi="宋体" w:cs="仿宋_GB2312"/>
                <w:sz w:val="24"/>
              </w:rPr>
            </w:pPr>
            <w:r>
              <w:rPr>
                <w:rFonts w:hint="eastAsia" w:ascii="宋体" w:hAnsi="宋体" w:cs="仿宋_GB2312"/>
                <w:sz w:val="24"/>
              </w:rPr>
              <w:t>《月度运行维护报告》</w:t>
            </w:r>
          </w:p>
        </w:tc>
      </w:tr>
    </w:tbl>
    <w:p w14:paraId="4E69E754">
      <w:pPr>
        <w:keepNext/>
        <w:keepLines/>
        <w:adjustRightInd w:val="0"/>
        <w:spacing w:line="360" w:lineRule="auto"/>
        <w:ind w:firstLine="482" w:firstLineChars="200"/>
        <w:textAlignment w:val="baseline"/>
        <w:outlineLvl w:val="0"/>
        <w:rPr>
          <w:rFonts w:hint="eastAsia" w:ascii="宋体" w:hAnsi="宋体"/>
          <w:b/>
          <w:bCs/>
          <w:sz w:val="24"/>
        </w:rPr>
      </w:pPr>
      <w:bookmarkStart w:id="10" w:name="_Toc14979"/>
      <w:r>
        <w:rPr>
          <w:rFonts w:hint="eastAsia" w:ascii="宋体" w:hAnsi="宋体"/>
          <w:b/>
          <w:bCs/>
          <w:sz w:val="24"/>
        </w:rPr>
        <w:fldChar w:fldCharType="begin"/>
      </w:r>
      <w:r>
        <w:rPr>
          <w:rFonts w:hint="eastAsia" w:ascii="宋体" w:hAnsi="宋体"/>
          <w:b/>
          <w:bCs/>
          <w:sz w:val="24"/>
        </w:rPr>
        <w:instrText xml:space="preserve"> HYPERLINK \l _Toc29694 </w:instrText>
      </w:r>
      <w:r>
        <w:rPr>
          <w:rFonts w:hint="eastAsia" w:ascii="宋体" w:hAnsi="宋体"/>
          <w:b/>
          <w:bCs/>
          <w:sz w:val="24"/>
        </w:rPr>
        <w:fldChar w:fldCharType="separate"/>
      </w:r>
      <w:r>
        <w:rPr>
          <w:rFonts w:hint="eastAsia" w:ascii="宋体" w:hAnsi="宋体"/>
          <w:b/>
          <w:bCs/>
          <w:sz w:val="24"/>
        </w:rPr>
        <w:t>六、项目团队要求</w:t>
      </w:r>
      <w:r>
        <w:rPr>
          <w:rFonts w:hint="eastAsia" w:ascii="宋体" w:hAnsi="宋体"/>
          <w:b/>
          <w:bCs/>
          <w:sz w:val="24"/>
        </w:rPr>
        <w:fldChar w:fldCharType="end"/>
      </w:r>
      <w:bookmarkEnd w:id="10"/>
    </w:p>
    <w:p w14:paraId="4FDC60AD">
      <w:pPr>
        <w:spacing w:line="360" w:lineRule="auto"/>
        <w:ind w:firstLine="480" w:firstLineChars="200"/>
        <w:rPr>
          <w:rFonts w:hint="eastAsia" w:ascii="宋体" w:hAnsi="宋体" w:cs="仿宋_GB2312"/>
          <w:sz w:val="24"/>
        </w:rPr>
      </w:pPr>
      <w:r>
        <w:rPr>
          <w:rFonts w:hint="eastAsia" w:ascii="宋体" w:hAnsi="宋体" w:cs="仿宋_GB2312"/>
          <w:sz w:val="24"/>
        </w:rPr>
        <w:t>具有类似项目系统相关实施经验；具备完成服务范围内各项工作的能力；团队中关键核心岗位人员（如项目经理等）不得外包。</w:t>
      </w:r>
    </w:p>
    <w:p w14:paraId="54759A8C">
      <w:pPr>
        <w:spacing w:line="360" w:lineRule="auto"/>
        <w:ind w:firstLine="480" w:firstLineChars="200"/>
        <w:rPr>
          <w:rFonts w:hint="eastAsia" w:ascii="宋体" w:hAnsi="宋体" w:cs="仿宋_GB2312"/>
          <w:sz w:val="24"/>
        </w:rPr>
      </w:pPr>
      <w:r>
        <w:rPr>
          <w:rFonts w:hint="eastAsia" w:ascii="宋体" w:hAnsi="宋体" w:cs="仿宋_GB2312"/>
          <w:sz w:val="24"/>
        </w:rPr>
        <w:t>1.项目经理、关键技术人员应具有服务同类项目的工作经验，提供人员简历。如发生更换，对替代人员的工作经验要求相同。</w:t>
      </w:r>
    </w:p>
    <w:p w14:paraId="3EB6D48F">
      <w:pPr>
        <w:spacing w:line="360" w:lineRule="auto"/>
        <w:ind w:firstLine="480" w:firstLineChars="200"/>
        <w:rPr>
          <w:rFonts w:hint="eastAsia" w:ascii="宋体" w:hAnsi="宋体" w:cs="仿宋_GB2312"/>
          <w:sz w:val="24"/>
        </w:rPr>
      </w:pPr>
      <w:r>
        <w:rPr>
          <w:rFonts w:hint="eastAsia" w:ascii="宋体" w:hAnsi="宋体" w:cs="仿宋_GB2312"/>
          <w:sz w:val="24"/>
        </w:rPr>
        <w:t>2.承诺已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不因此降低服务质量。</w:t>
      </w:r>
    </w:p>
    <w:p w14:paraId="07055AC7">
      <w:pPr>
        <w:spacing w:line="360" w:lineRule="auto"/>
        <w:ind w:firstLine="480" w:firstLineChars="200"/>
        <w:rPr>
          <w:rFonts w:hint="eastAsia" w:ascii="宋体" w:hAnsi="宋体" w:cs="仿宋_GB2312"/>
          <w:sz w:val="24"/>
        </w:rPr>
      </w:pPr>
      <w:r>
        <w:rPr>
          <w:rFonts w:hint="eastAsia" w:ascii="宋体" w:hAnsi="宋体" w:cs="仿宋_GB2312"/>
          <w:sz w:val="24"/>
        </w:rPr>
        <w:t>3.承诺进入现场服务人员，</w:t>
      </w:r>
      <w:r>
        <w:rPr>
          <w:rFonts w:hint="eastAsia" w:ascii="宋体" w:hAnsi="宋体" w:cs="仿宋"/>
          <w:sz w:val="24"/>
        </w:rPr>
        <w:t>要提供人员简历、学历证明复印件及人员相关认证资质复印件，签署安全保密承诺书，并</w:t>
      </w:r>
      <w:r>
        <w:rPr>
          <w:rFonts w:hint="eastAsia" w:ascii="宋体" w:hAnsi="宋体" w:cs="仿宋_GB2312"/>
          <w:sz w:val="24"/>
        </w:rPr>
        <w:t>满足采购人管理要求：</w:t>
      </w:r>
    </w:p>
    <w:p w14:paraId="73783C30">
      <w:pPr>
        <w:spacing w:line="360" w:lineRule="auto"/>
        <w:ind w:firstLine="480" w:firstLineChars="200"/>
        <w:rPr>
          <w:rFonts w:hint="eastAsia" w:ascii="宋体" w:hAnsi="宋体" w:cs="仿宋_GB2312"/>
          <w:sz w:val="24"/>
        </w:rPr>
      </w:pPr>
      <w:r>
        <w:rPr>
          <w:rFonts w:hint="eastAsia" w:ascii="宋体" w:hAnsi="宋体" w:cs="仿宋_GB2312"/>
          <w:sz w:val="24"/>
        </w:rPr>
        <w:t>（1）所有服务人员必须遵守采购人作息制度和相关工作制度规定，提供5*8小时驻场服务。</w:t>
      </w:r>
    </w:p>
    <w:p w14:paraId="66A9EA9B">
      <w:pPr>
        <w:spacing w:line="360" w:lineRule="auto"/>
        <w:ind w:firstLine="480" w:firstLineChars="200"/>
        <w:rPr>
          <w:rFonts w:hint="eastAsia" w:ascii="宋体" w:hAnsi="宋体" w:cs="仿宋_GB2312"/>
          <w:sz w:val="24"/>
        </w:rPr>
      </w:pPr>
      <w:r>
        <w:rPr>
          <w:rFonts w:hint="eastAsia" w:ascii="宋体" w:hAnsi="宋体" w:cs="仿宋_GB2312"/>
          <w:sz w:val="24"/>
        </w:rPr>
        <w:t>（2）服务期间，所有服务人员必须严格按照采购人各项规章制度合规开展工作；驻场服务地点为采购人指定地点。</w:t>
      </w:r>
    </w:p>
    <w:p w14:paraId="1F9A2F2D">
      <w:pPr>
        <w:spacing w:line="360" w:lineRule="auto"/>
        <w:ind w:firstLine="480" w:firstLineChars="200"/>
        <w:rPr>
          <w:rFonts w:hint="eastAsia" w:ascii="宋体" w:hAnsi="宋体" w:cs="仿宋_GB2312"/>
          <w:sz w:val="24"/>
        </w:rPr>
      </w:pPr>
      <w:r>
        <w:rPr>
          <w:rFonts w:hint="eastAsia" w:ascii="宋体" w:hAnsi="宋体" w:cs="仿宋_GB2312"/>
          <w:sz w:val="24"/>
        </w:rPr>
        <w:t>（3）任何人员不得随意更换。如果更换人员则供应商应提前1个月通知采购人，并经过采购人审核通过后方可换人。同时要求新换人员必须通过采购人的审核，且由供应商保证人员更换期间支持工作的连续性。</w:t>
      </w:r>
    </w:p>
    <w:p w14:paraId="79109647">
      <w:pPr>
        <w:spacing w:line="360" w:lineRule="auto"/>
        <w:ind w:firstLine="480" w:firstLineChars="200"/>
        <w:rPr>
          <w:rFonts w:hint="eastAsia" w:ascii="宋体" w:hAnsi="宋体" w:cs="仿宋_GB2312"/>
          <w:sz w:val="24"/>
        </w:rPr>
      </w:pPr>
      <w:r>
        <w:rPr>
          <w:rFonts w:hint="eastAsia" w:ascii="宋体" w:hAnsi="宋体" w:cs="仿宋_GB2312"/>
          <w:sz w:val="24"/>
        </w:rPr>
        <w:t>（4）如果服务人员因违反采购人工作纪律或相关运行制度，并给采购人造成了损失，则供应商有责任进行赔偿，具体赔偿标准见合同。</w:t>
      </w:r>
    </w:p>
    <w:p w14:paraId="0C622632">
      <w:pPr>
        <w:spacing w:line="360" w:lineRule="auto"/>
        <w:ind w:firstLine="480" w:firstLineChars="200"/>
        <w:rPr>
          <w:rFonts w:hint="eastAsia" w:ascii="宋体" w:hAnsi="宋体" w:cs="仿宋_GB2312"/>
          <w:sz w:val="24"/>
        </w:rPr>
      </w:pPr>
      <w:r>
        <w:rPr>
          <w:rFonts w:hint="eastAsia" w:ascii="宋体" w:hAnsi="宋体" w:cs="仿宋_GB2312"/>
          <w:sz w:val="24"/>
        </w:rPr>
        <w:t>（5）根据支持效果，对于不能够胜任工作的人员，采购人有权利要求供应商重新进行调换。同时由供应商保证人员更换期间支持工作的连续性。</w:t>
      </w:r>
    </w:p>
    <w:p w14:paraId="2C5FFE25">
      <w:pPr>
        <w:spacing w:line="360" w:lineRule="auto"/>
        <w:ind w:firstLine="480" w:firstLineChars="200"/>
        <w:rPr>
          <w:rFonts w:hint="eastAsia" w:ascii="宋体" w:hAnsi="宋体" w:cs="仿宋_GB2312"/>
          <w:sz w:val="24"/>
        </w:rPr>
      </w:pPr>
      <w:r>
        <w:rPr>
          <w:rFonts w:hint="eastAsia" w:ascii="宋体" w:hAnsi="宋体" w:cs="仿宋_GB2312"/>
          <w:sz w:val="24"/>
        </w:rPr>
        <w:t>4.承诺涉及项目的非现场服务人员严格遵守采购人项目外包相关管理规定，并由供应商加强管理。</w:t>
      </w:r>
    </w:p>
    <w:p w14:paraId="79A58AD5">
      <w:pPr>
        <w:keepNext/>
        <w:keepLines/>
        <w:adjustRightInd w:val="0"/>
        <w:spacing w:line="360" w:lineRule="auto"/>
        <w:ind w:firstLine="482" w:firstLineChars="200"/>
        <w:textAlignment w:val="baseline"/>
        <w:outlineLvl w:val="0"/>
        <w:rPr>
          <w:rFonts w:hint="eastAsia" w:ascii="宋体" w:hAnsi="宋体"/>
          <w:b/>
          <w:bCs/>
          <w:sz w:val="24"/>
        </w:rPr>
      </w:pPr>
      <w:bookmarkStart w:id="11" w:name="_Toc1526"/>
      <w:bookmarkStart w:id="12" w:name="_Toc3462"/>
      <w:r>
        <w:rPr>
          <w:rFonts w:hint="eastAsia" w:ascii="宋体" w:hAnsi="宋体"/>
          <w:b/>
          <w:bCs/>
          <w:sz w:val="24"/>
        </w:rPr>
        <w:t>七、安全要求</w:t>
      </w:r>
      <w:bookmarkEnd w:id="11"/>
      <w:bookmarkEnd w:id="12"/>
    </w:p>
    <w:p w14:paraId="5ECC12D3">
      <w:pPr>
        <w:adjustRightInd w:val="0"/>
        <w:spacing w:line="360" w:lineRule="auto"/>
        <w:ind w:firstLine="480" w:firstLineChars="200"/>
        <w:textAlignment w:val="baseline"/>
        <w:rPr>
          <w:rFonts w:hint="eastAsia" w:ascii="宋体" w:hAnsi="宋体"/>
          <w:sz w:val="24"/>
        </w:rPr>
      </w:pPr>
      <w:r>
        <w:rPr>
          <w:rFonts w:hint="eastAsia" w:ascii="宋体" w:hAnsi="宋体"/>
          <w:sz w:val="24"/>
        </w:rPr>
        <w:t>在未征得采购人同意的情况下，供应商供应商必须保证所提供的人员能够严格遵守各项规章制度，主要包括但不限于以下内容：</w:t>
      </w:r>
    </w:p>
    <w:p w14:paraId="55FB15D2">
      <w:pPr>
        <w:adjustRightInd w:val="0"/>
        <w:spacing w:line="360" w:lineRule="auto"/>
        <w:ind w:firstLine="480" w:firstLineChars="200"/>
        <w:textAlignment w:val="baseline"/>
        <w:rPr>
          <w:rFonts w:hint="eastAsia" w:ascii="宋体" w:hAnsi="宋体"/>
          <w:sz w:val="24"/>
        </w:rPr>
      </w:pPr>
      <w:r>
        <w:rPr>
          <w:rFonts w:hint="eastAsia" w:ascii="宋体" w:hAnsi="宋体"/>
          <w:sz w:val="24"/>
        </w:rPr>
        <w:t>（一）法律合规方面，应有效规避实施过程中给采购人带来的法律风险。</w:t>
      </w:r>
    </w:p>
    <w:p w14:paraId="1C810C15">
      <w:pPr>
        <w:adjustRightInd w:val="0"/>
        <w:spacing w:line="360" w:lineRule="auto"/>
        <w:ind w:firstLine="480" w:firstLineChars="200"/>
        <w:textAlignment w:val="baseline"/>
        <w:rPr>
          <w:rFonts w:hint="eastAsia" w:ascii="宋体" w:hAnsi="宋体"/>
          <w:sz w:val="24"/>
        </w:rPr>
      </w:pPr>
      <w:r>
        <w:rPr>
          <w:rFonts w:hint="eastAsia" w:ascii="宋体" w:hAnsi="宋体"/>
          <w:sz w:val="24"/>
        </w:rPr>
        <w:t>（二）信息安全方面，应有效规避因服务人员导致的银行信息（如业务数据和商务信息等）泄漏风险。</w:t>
      </w:r>
    </w:p>
    <w:p w14:paraId="1DB93F99">
      <w:pPr>
        <w:adjustRightInd w:val="0"/>
        <w:spacing w:line="360" w:lineRule="auto"/>
        <w:ind w:firstLine="480" w:firstLineChars="200"/>
        <w:textAlignment w:val="baseline"/>
        <w:rPr>
          <w:rFonts w:hint="eastAsia" w:ascii="宋体" w:hAnsi="宋体"/>
          <w:sz w:val="24"/>
        </w:rPr>
      </w:pPr>
      <w:r>
        <w:rPr>
          <w:rFonts w:hint="eastAsia" w:ascii="宋体" w:hAnsi="宋体"/>
          <w:sz w:val="24"/>
        </w:rPr>
        <w:t>（三）生产安全方面，应严格规避因人员操作不当，导致的银行系统出现安全性和稳定性风险事件。</w:t>
      </w:r>
    </w:p>
    <w:p w14:paraId="66C98C5F">
      <w:pPr>
        <w:adjustRightInd w:val="0"/>
        <w:spacing w:line="360" w:lineRule="auto"/>
        <w:ind w:firstLine="480" w:firstLineChars="200"/>
        <w:textAlignment w:val="baseline"/>
        <w:rPr>
          <w:rFonts w:hint="eastAsia" w:ascii="宋体" w:hAnsi="宋体"/>
          <w:sz w:val="24"/>
        </w:rPr>
      </w:pPr>
      <w:r>
        <w:rPr>
          <w:rFonts w:hint="eastAsia" w:ascii="宋体" w:hAnsi="宋体"/>
          <w:sz w:val="24"/>
        </w:rPr>
        <w:t>（四）安全审计方面，应确保针对银行设备的相关操作留有纸质或视频记录。</w:t>
      </w:r>
    </w:p>
    <w:p w14:paraId="5D1B16C4">
      <w:pPr>
        <w:adjustRightInd w:val="0"/>
        <w:spacing w:line="360" w:lineRule="auto"/>
        <w:ind w:firstLine="480" w:firstLineChars="200"/>
        <w:textAlignment w:val="baseline"/>
        <w:rPr>
          <w:rFonts w:hint="eastAsia" w:ascii="宋体" w:hAnsi="宋体"/>
          <w:sz w:val="24"/>
        </w:rPr>
      </w:pPr>
      <w:r>
        <w:rPr>
          <w:rFonts w:hint="eastAsia" w:ascii="宋体" w:hAnsi="宋体"/>
          <w:sz w:val="24"/>
        </w:rPr>
        <w:t>（五）</w:t>
      </w:r>
      <w:r>
        <w:rPr>
          <w:rFonts w:ascii="宋体" w:hAnsi="宋体"/>
          <w:sz w:val="24"/>
        </w:rPr>
        <w:t>保密</w:t>
      </w:r>
      <w:r>
        <w:rPr>
          <w:rFonts w:hint="eastAsia" w:ascii="宋体" w:hAnsi="宋体"/>
          <w:sz w:val="24"/>
        </w:rPr>
        <w:t>要求方面，</w:t>
      </w:r>
      <w:r>
        <w:rPr>
          <w:rFonts w:ascii="宋体" w:hAnsi="宋体"/>
          <w:sz w:val="24"/>
        </w:rPr>
        <w:t>供应商对项目实施中涉及到的相关数据、资料、文档等具有保密的义务，并应按照相应保密规定执行。本项目所形成的数据成果归</w:t>
      </w:r>
      <w:r>
        <w:rPr>
          <w:rFonts w:hint="eastAsia" w:ascii="宋体" w:hAnsi="宋体"/>
          <w:sz w:val="24"/>
        </w:rPr>
        <w:t>采购人</w:t>
      </w:r>
      <w:r>
        <w:rPr>
          <w:rFonts w:ascii="宋体" w:hAnsi="宋体"/>
          <w:sz w:val="24"/>
        </w:rPr>
        <w:t>所有。未经</w:t>
      </w:r>
      <w:r>
        <w:rPr>
          <w:rFonts w:hint="eastAsia" w:ascii="宋体" w:hAnsi="宋体"/>
          <w:sz w:val="24"/>
        </w:rPr>
        <w:t>采购人</w:t>
      </w:r>
      <w:r>
        <w:rPr>
          <w:rFonts w:ascii="宋体" w:hAnsi="宋体"/>
          <w:sz w:val="24"/>
        </w:rPr>
        <w:t>同意，供应商</w:t>
      </w:r>
      <w:r>
        <w:rPr>
          <w:rFonts w:hint="eastAsia" w:ascii="宋体" w:hAnsi="宋体"/>
          <w:sz w:val="24"/>
        </w:rPr>
        <w:t>不得向第三方泄露、公开或用于提供法律服务之外的其他目的，对掌握的采购人、采购人客户的资料，供应商应采取措施与其他客户资料施行有效隔离。</w:t>
      </w:r>
    </w:p>
    <w:p w14:paraId="73453983">
      <w:pPr>
        <w:keepNext/>
        <w:keepLines/>
        <w:adjustRightInd w:val="0"/>
        <w:spacing w:line="360" w:lineRule="auto"/>
        <w:ind w:firstLine="482" w:firstLineChars="200"/>
        <w:textAlignment w:val="baseline"/>
        <w:outlineLvl w:val="0"/>
        <w:rPr>
          <w:rFonts w:hint="eastAsia" w:ascii="宋体" w:hAnsi="宋体"/>
          <w:b/>
          <w:bCs/>
          <w:sz w:val="24"/>
        </w:rPr>
      </w:pPr>
      <w:bookmarkStart w:id="13" w:name="_Toc21831"/>
      <w:bookmarkStart w:id="14" w:name="_Toc32459"/>
      <w:r>
        <w:rPr>
          <w:rFonts w:hint="eastAsia" w:ascii="宋体" w:hAnsi="宋体"/>
          <w:b/>
          <w:bCs/>
          <w:sz w:val="24"/>
        </w:rPr>
        <w:t>八</w:t>
      </w:r>
      <w:r>
        <w:rPr>
          <w:rFonts w:ascii="宋体" w:hAnsi="宋体"/>
          <w:b/>
          <w:bCs/>
          <w:sz w:val="24"/>
        </w:rPr>
        <w:t>、交付或实施时间、地点</w:t>
      </w:r>
      <w:bookmarkEnd w:id="13"/>
      <w:bookmarkEnd w:id="14"/>
    </w:p>
    <w:p w14:paraId="41BC4E67">
      <w:pPr>
        <w:adjustRightInd w:val="0"/>
        <w:spacing w:line="360" w:lineRule="auto"/>
        <w:ind w:firstLine="482" w:firstLineChars="200"/>
        <w:textAlignment w:val="baseline"/>
        <w:rPr>
          <w:rFonts w:hint="eastAsia" w:ascii="宋体" w:hAnsi="宋体" w:cs="楷体_GB2312"/>
          <w:b/>
          <w:bCs/>
          <w:sz w:val="24"/>
        </w:rPr>
      </w:pPr>
      <w:r>
        <w:rPr>
          <w:rFonts w:hint="eastAsia" w:ascii="宋体" w:hAnsi="宋体" w:cs="楷体_GB2312"/>
          <w:b/>
          <w:bCs/>
          <w:sz w:val="24"/>
        </w:rPr>
        <w:t>（一）项目周期</w:t>
      </w:r>
    </w:p>
    <w:p w14:paraId="701889FA">
      <w:pPr>
        <w:adjustRightInd w:val="0"/>
        <w:spacing w:line="360" w:lineRule="auto"/>
        <w:ind w:firstLine="480" w:firstLineChars="200"/>
        <w:textAlignment w:val="baseline"/>
        <w:rPr>
          <w:rFonts w:hint="eastAsia" w:ascii="宋体" w:hAnsi="宋体"/>
          <w:sz w:val="24"/>
        </w:rPr>
      </w:pPr>
      <w:r>
        <w:rPr>
          <w:rFonts w:hint="eastAsia" w:ascii="宋体" w:hAnsi="宋体"/>
          <w:sz w:val="24"/>
        </w:rPr>
        <w:t>合同签署至</w:t>
      </w:r>
      <w:r>
        <w:rPr>
          <w:rFonts w:ascii="宋体" w:hAnsi="宋体"/>
          <w:sz w:val="24"/>
        </w:rPr>
        <w:t>项目</w:t>
      </w:r>
      <w:r>
        <w:rPr>
          <w:rFonts w:hint="eastAsia" w:ascii="宋体" w:hAnsi="宋体"/>
          <w:sz w:val="24"/>
        </w:rPr>
        <w:t>验收后12个月，2026年6月30日前完成相关系统功能改造并投产上线，重保期为3个月，投产验收通过后提供1年的免费运维服务。</w:t>
      </w:r>
    </w:p>
    <w:p w14:paraId="78721D60">
      <w:pPr>
        <w:widowControl/>
        <w:adjustRightInd w:val="0"/>
        <w:spacing w:line="360" w:lineRule="auto"/>
        <w:ind w:firstLine="482" w:firstLineChars="200"/>
        <w:textAlignment w:val="baseline"/>
        <w:rPr>
          <w:rFonts w:hint="eastAsia" w:ascii="宋体" w:hAnsi="宋体" w:cs="楷体_GB2312"/>
          <w:b/>
          <w:bCs/>
          <w:sz w:val="24"/>
        </w:rPr>
      </w:pPr>
      <w:r>
        <w:rPr>
          <w:rFonts w:hint="eastAsia" w:ascii="宋体" w:hAnsi="宋体" w:cs="楷体_GB2312"/>
          <w:b/>
          <w:bCs/>
          <w:sz w:val="24"/>
        </w:rPr>
        <w:t>（二）服务地点</w:t>
      </w:r>
    </w:p>
    <w:p w14:paraId="4CDDD8E5">
      <w:pPr>
        <w:widowControl/>
        <w:adjustRightInd w:val="0"/>
        <w:spacing w:line="360" w:lineRule="auto"/>
        <w:ind w:firstLine="480" w:firstLineChars="200"/>
        <w:textAlignment w:val="baseline"/>
        <w:rPr>
          <w:rFonts w:hint="eastAsia" w:ascii="宋体" w:hAnsi="宋体"/>
          <w:sz w:val="24"/>
        </w:rPr>
      </w:pPr>
      <w:r>
        <w:rPr>
          <w:rFonts w:ascii="宋体" w:hAnsi="宋体"/>
          <w:sz w:val="24"/>
        </w:rPr>
        <w:t>中国进出口银行信息科技部</w:t>
      </w:r>
      <w:r>
        <w:rPr>
          <w:rFonts w:hint="eastAsia" w:ascii="宋体" w:hAnsi="宋体"/>
          <w:sz w:val="24"/>
        </w:rPr>
        <w:t>（北京或其他双方约定地点）</w:t>
      </w:r>
      <w:r>
        <w:rPr>
          <w:rFonts w:ascii="宋体" w:hAnsi="宋体"/>
          <w:sz w:val="24"/>
        </w:rPr>
        <w:t>。</w:t>
      </w:r>
    </w:p>
    <w:p w14:paraId="75D6AE1E">
      <w:pPr>
        <w:keepNext/>
        <w:keepLines/>
        <w:numPr>
          <w:ilvl w:val="0"/>
          <w:numId w:val="6"/>
        </w:numPr>
        <w:adjustRightInd w:val="0"/>
        <w:spacing w:line="360" w:lineRule="auto"/>
        <w:ind w:firstLine="482" w:firstLineChars="200"/>
        <w:textAlignment w:val="baseline"/>
        <w:outlineLvl w:val="0"/>
        <w:rPr>
          <w:rFonts w:hint="eastAsia" w:ascii="宋体" w:hAnsi="宋体"/>
          <w:b/>
          <w:bCs/>
          <w:sz w:val="24"/>
        </w:rPr>
      </w:pPr>
      <w:bookmarkStart w:id="15" w:name="_Toc22596"/>
      <w:bookmarkStart w:id="16" w:name="_Toc27829"/>
      <w:r>
        <w:rPr>
          <w:rFonts w:ascii="宋体" w:hAnsi="宋体"/>
          <w:b/>
          <w:bCs/>
          <w:sz w:val="24"/>
        </w:rPr>
        <w:t>财务支付要求</w:t>
      </w:r>
      <w:bookmarkEnd w:id="15"/>
    </w:p>
    <w:bookmarkEnd w:id="16"/>
    <w:tbl>
      <w:tblPr>
        <w:tblStyle w:val="4"/>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177"/>
        <w:gridCol w:w="4472"/>
        <w:gridCol w:w="2115"/>
      </w:tblGrid>
      <w:tr w14:paraId="4DF2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32" w:type="dxa"/>
            <w:vAlign w:val="center"/>
          </w:tcPr>
          <w:p w14:paraId="47E2A870">
            <w:pPr>
              <w:widowControl/>
              <w:adjustRightInd w:val="0"/>
              <w:jc w:val="center"/>
              <w:textAlignment w:val="baseline"/>
              <w:rPr>
                <w:rFonts w:hint="eastAsia" w:ascii="宋体" w:hAnsi="宋体" w:cs="黑体"/>
                <w:sz w:val="24"/>
              </w:rPr>
            </w:pPr>
            <w:r>
              <w:rPr>
                <w:rFonts w:hint="eastAsia" w:ascii="宋体" w:hAnsi="宋体" w:cs="黑体"/>
                <w:sz w:val="24"/>
              </w:rPr>
              <w:t>序号</w:t>
            </w:r>
          </w:p>
        </w:tc>
        <w:tc>
          <w:tcPr>
            <w:tcW w:w="1177" w:type="dxa"/>
            <w:vAlign w:val="center"/>
          </w:tcPr>
          <w:p w14:paraId="5D64AE1F">
            <w:pPr>
              <w:widowControl/>
              <w:adjustRightInd w:val="0"/>
              <w:jc w:val="center"/>
              <w:textAlignment w:val="baseline"/>
              <w:rPr>
                <w:rFonts w:hint="eastAsia" w:ascii="宋体" w:hAnsi="宋体" w:cs="黑体"/>
                <w:sz w:val="24"/>
              </w:rPr>
            </w:pPr>
            <w:r>
              <w:rPr>
                <w:rFonts w:hint="eastAsia" w:ascii="宋体" w:hAnsi="宋体" w:cs="黑体"/>
                <w:sz w:val="24"/>
              </w:rPr>
              <w:t>付款节点</w:t>
            </w:r>
          </w:p>
        </w:tc>
        <w:tc>
          <w:tcPr>
            <w:tcW w:w="4472" w:type="dxa"/>
            <w:vAlign w:val="center"/>
          </w:tcPr>
          <w:p w14:paraId="7A78C881">
            <w:pPr>
              <w:widowControl/>
              <w:adjustRightInd w:val="0"/>
              <w:jc w:val="center"/>
              <w:textAlignment w:val="baseline"/>
              <w:rPr>
                <w:rFonts w:hint="eastAsia" w:ascii="宋体" w:hAnsi="宋体" w:cs="黑体"/>
                <w:sz w:val="24"/>
              </w:rPr>
            </w:pPr>
            <w:r>
              <w:rPr>
                <w:rFonts w:hint="eastAsia" w:ascii="宋体" w:hAnsi="宋体" w:cs="黑体"/>
                <w:sz w:val="24"/>
              </w:rPr>
              <w:t>付款条件</w:t>
            </w:r>
          </w:p>
        </w:tc>
        <w:tc>
          <w:tcPr>
            <w:tcW w:w="2115" w:type="dxa"/>
            <w:vAlign w:val="center"/>
          </w:tcPr>
          <w:p w14:paraId="06B0F6A0">
            <w:pPr>
              <w:widowControl/>
              <w:adjustRightInd w:val="0"/>
              <w:jc w:val="center"/>
              <w:textAlignment w:val="baseline"/>
              <w:rPr>
                <w:rFonts w:hint="eastAsia" w:ascii="宋体" w:hAnsi="宋体" w:cs="黑体"/>
                <w:sz w:val="24"/>
              </w:rPr>
            </w:pPr>
            <w:r>
              <w:rPr>
                <w:rFonts w:hint="eastAsia" w:ascii="宋体" w:hAnsi="宋体" w:cs="黑体"/>
                <w:sz w:val="24"/>
              </w:rPr>
              <w:t>付款比例</w:t>
            </w:r>
          </w:p>
        </w:tc>
      </w:tr>
      <w:tr w14:paraId="1602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32" w:type="dxa"/>
            <w:vAlign w:val="center"/>
          </w:tcPr>
          <w:p w14:paraId="5AAB197E">
            <w:pPr>
              <w:jc w:val="center"/>
              <w:rPr>
                <w:rFonts w:hint="eastAsia" w:ascii="宋体" w:hAnsi="宋体"/>
                <w:sz w:val="24"/>
              </w:rPr>
            </w:pPr>
            <w:r>
              <w:rPr>
                <w:rFonts w:ascii="宋体" w:hAnsi="宋体"/>
                <w:sz w:val="24"/>
              </w:rPr>
              <w:t>１</w:t>
            </w:r>
          </w:p>
        </w:tc>
        <w:tc>
          <w:tcPr>
            <w:tcW w:w="1177" w:type="dxa"/>
            <w:vAlign w:val="center"/>
          </w:tcPr>
          <w:p w14:paraId="70FDED62">
            <w:pPr>
              <w:jc w:val="center"/>
              <w:rPr>
                <w:rFonts w:hint="eastAsia" w:ascii="宋体" w:hAnsi="宋体"/>
                <w:sz w:val="24"/>
              </w:rPr>
            </w:pPr>
            <w:r>
              <w:rPr>
                <w:rFonts w:ascii="宋体" w:hAnsi="宋体"/>
                <w:sz w:val="24"/>
              </w:rPr>
              <w:t>首付款</w:t>
            </w:r>
          </w:p>
        </w:tc>
        <w:tc>
          <w:tcPr>
            <w:tcW w:w="4472" w:type="dxa"/>
            <w:vAlign w:val="center"/>
          </w:tcPr>
          <w:p w14:paraId="5888B70B">
            <w:pPr>
              <w:rPr>
                <w:rFonts w:hint="eastAsia" w:ascii="宋体" w:hAnsi="宋体"/>
                <w:sz w:val="24"/>
              </w:rPr>
            </w:pPr>
            <w:r>
              <w:rPr>
                <w:rFonts w:hint="eastAsia" w:ascii="宋体" w:hAnsi="宋体"/>
                <w:sz w:val="24"/>
              </w:rPr>
              <w:t>合同签署</w:t>
            </w:r>
            <w:r>
              <w:rPr>
                <w:rFonts w:ascii="宋体" w:hAnsi="宋体"/>
                <w:sz w:val="24"/>
              </w:rPr>
              <w:t>后，采购人在收到供应商出具的付款申请及相应金额经采购人认可的合法有效发票之日起</w:t>
            </w:r>
            <w:r>
              <w:rPr>
                <w:rFonts w:hint="eastAsia" w:ascii="宋体" w:hAnsi="宋体"/>
                <w:sz w:val="24"/>
              </w:rPr>
              <w:t>20个工作</w:t>
            </w:r>
            <w:r>
              <w:rPr>
                <w:rFonts w:ascii="宋体" w:hAnsi="宋体"/>
                <w:sz w:val="24"/>
              </w:rPr>
              <w:t>日内</w:t>
            </w:r>
          </w:p>
        </w:tc>
        <w:tc>
          <w:tcPr>
            <w:tcW w:w="2115" w:type="dxa"/>
            <w:vAlign w:val="center"/>
          </w:tcPr>
          <w:p w14:paraId="0FE31750">
            <w:pPr>
              <w:rPr>
                <w:rFonts w:hint="eastAsia" w:ascii="宋体" w:hAnsi="宋体"/>
                <w:sz w:val="24"/>
              </w:rPr>
            </w:pPr>
            <w:r>
              <w:rPr>
                <w:rFonts w:hint="eastAsia" w:ascii="宋体" w:hAnsi="宋体"/>
                <w:sz w:val="24"/>
              </w:rPr>
              <w:t>付款至</w:t>
            </w:r>
            <w:r>
              <w:rPr>
                <w:rFonts w:ascii="宋体" w:hAnsi="宋体"/>
                <w:sz w:val="24"/>
              </w:rPr>
              <w:t>合同金额的</w:t>
            </w:r>
            <w:r>
              <w:rPr>
                <w:rFonts w:hint="eastAsia" w:ascii="宋体" w:hAnsi="宋体"/>
                <w:sz w:val="24"/>
              </w:rPr>
              <w:t>5</w:t>
            </w:r>
            <w:r>
              <w:rPr>
                <w:rFonts w:ascii="宋体" w:hAnsi="宋体"/>
                <w:sz w:val="24"/>
              </w:rPr>
              <w:t>0%</w:t>
            </w:r>
          </w:p>
        </w:tc>
      </w:tr>
      <w:tr w14:paraId="30C6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32" w:type="dxa"/>
            <w:vAlign w:val="center"/>
          </w:tcPr>
          <w:p w14:paraId="666AAB59">
            <w:pPr>
              <w:jc w:val="center"/>
              <w:rPr>
                <w:rFonts w:hint="eastAsia" w:ascii="宋体" w:hAnsi="宋体"/>
                <w:sz w:val="24"/>
              </w:rPr>
            </w:pPr>
            <w:r>
              <w:rPr>
                <w:rFonts w:hint="eastAsia" w:ascii="宋体" w:hAnsi="宋体"/>
                <w:sz w:val="24"/>
              </w:rPr>
              <w:t>2</w:t>
            </w:r>
          </w:p>
        </w:tc>
        <w:tc>
          <w:tcPr>
            <w:tcW w:w="1177" w:type="dxa"/>
            <w:vAlign w:val="center"/>
          </w:tcPr>
          <w:p w14:paraId="253C5ED5">
            <w:pPr>
              <w:jc w:val="center"/>
              <w:rPr>
                <w:rFonts w:hint="eastAsia" w:ascii="宋体" w:hAnsi="宋体"/>
                <w:sz w:val="24"/>
              </w:rPr>
            </w:pPr>
            <w:r>
              <w:rPr>
                <w:rFonts w:hint="eastAsia" w:ascii="宋体" w:hAnsi="宋体"/>
                <w:sz w:val="24"/>
              </w:rPr>
              <w:t>验收款</w:t>
            </w:r>
          </w:p>
        </w:tc>
        <w:tc>
          <w:tcPr>
            <w:tcW w:w="4472" w:type="dxa"/>
            <w:vAlign w:val="center"/>
          </w:tcPr>
          <w:p w14:paraId="180EE1A1">
            <w:pPr>
              <w:rPr>
                <w:rFonts w:hint="eastAsia" w:ascii="宋体" w:hAnsi="宋体"/>
                <w:sz w:val="24"/>
              </w:rPr>
            </w:pPr>
            <w:r>
              <w:rPr>
                <w:rFonts w:hint="eastAsia" w:ascii="宋体" w:hAnsi="宋体"/>
                <w:sz w:val="24"/>
              </w:rPr>
              <w:t>全部需求上线稳定运行满3个月，并通过投产验收后，采购人自收到供应商出具的付款申请及相应金额经采购人认可的合法有效发票之日起20个工作</w:t>
            </w:r>
            <w:r>
              <w:rPr>
                <w:rFonts w:ascii="宋体" w:hAnsi="宋体"/>
                <w:sz w:val="24"/>
              </w:rPr>
              <w:t>日内</w:t>
            </w:r>
          </w:p>
        </w:tc>
        <w:tc>
          <w:tcPr>
            <w:tcW w:w="2115" w:type="dxa"/>
            <w:vAlign w:val="center"/>
          </w:tcPr>
          <w:p w14:paraId="0DF2A593">
            <w:pPr>
              <w:rPr>
                <w:rFonts w:hint="eastAsia" w:ascii="宋体" w:hAnsi="宋体"/>
                <w:sz w:val="24"/>
              </w:rPr>
            </w:pPr>
            <w:r>
              <w:rPr>
                <w:rFonts w:hint="eastAsia" w:ascii="宋体" w:hAnsi="宋体"/>
                <w:sz w:val="24"/>
              </w:rPr>
              <w:t>付款至</w:t>
            </w:r>
            <w:r>
              <w:rPr>
                <w:rFonts w:ascii="宋体" w:hAnsi="宋体"/>
                <w:sz w:val="24"/>
              </w:rPr>
              <w:t>合同金额的</w:t>
            </w:r>
            <w:r>
              <w:rPr>
                <w:rFonts w:hint="eastAsia" w:ascii="宋体" w:hAnsi="宋体"/>
                <w:sz w:val="24"/>
              </w:rPr>
              <w:t>7</w:t>
            </w:r>
            <w:r>
              <w:rPr>
                <w:rFonts w:ascii="宋体" w:hAnsi="宋体"/>
                <w:sz w:val="24"/>
              </w:rPr>
              <w:t>0%</w:t>
            </w:r>
          </w:p>
        </w:tc>
      </w:tr>
      <w:tr w14:paraId="79E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632" w:type="dxa"/>
            <w:vAlign w:val="center"/>
          </w:tcPr>
          <w:p w14:paraId="4F3B79BD">
            <w:pPr>
              <w:jc w:val="center"/>
              <w:rPr>
                <w:rFonts w:hint="eastAsia" w:ascii="宋体" w:hAnsi="宋体"/>
                <w:sz w:val="24"/>
              </w:rPr>
            </w:pPr>
            <w:r>
              <w:rPr>
                <w:rFonts w:hint="eastAsia" w:ascii="宋体" w:hAnsi="宋体"/>
                <w:sz w:val="24"/>
              </w:rPr>
              <w:t>3</w:t>
            </w:r>
          </w:p>
        </w:tc>
        <w:tc>
          <w:tcPr>
            <w:tcW w:w="1177" w:type="dxa"/>
            <w:vAlign w:val="center"/>
          </w:tcPr>
          <w:p w14:paraId="37BA3030">
            <w:pPr>
              <w:jc w:val="center"/>
              <w:rPr>
                <w:rFonts w:hint="eastAsia" w:ascii="宋体" w:hAnsi="宋体"/>
                <w:sz w:val="24"/>
              </w:rPr>
            </w:pPr>
            <w:r>
              <w:rPr>
                <w:rFonts w:ascii="宋体" w:hAnsi="宋体"/>
                <w:sz w:val="24"/>
              </w:rPr>
              <w:t>尾</w:t>
            </w:r>
            <w:r>
              <w:rPr>
                <w:rFonts w:hint="eastAsia" w:ascii="宋体" w:hAnsi="宋体"/>
                <w:sz w:val="24"/>
              </w:rPr>
              <w:t xml:space="preserve">  </w:t>
            </w:r>
            <w:r>
              <w:rPr>
                <w:rFonts w:ascii="宋体" w:hAnsi="宋体"/>
                <w:sz w:val="24"/>
              </w:rPr>
              <w:t>款</w:t>
            </w:r>
          </w:p>
        </w:tc>
        <w:tc>
          <w:tcPr>
            <w:tcW w:w="4472" w:type="dxa"/>
            <w:vAlign w:val="center"/>
          </w:tcPr>
          <w:p w14:paraId="7CD763D2">
            <w:pPr>
              <w:rPr>
                <w:rFonts w:hint="eastAsia" w:ascii="宋体" w:hAnsi="宋体"/>
                <w:sz w:val="24"/>
              </w:rPr>
            </w:pPr>
            <w:r>
              <w:rPr>
                <w:rFonts w:hint="eastAsia" w:ascii="宋体" w:hAnsi="宋体"/>
                <w:sz w:val="24"/>
              </w:rPr>
              <w:t>维护期结束，通过应用运维验收后，采购人收到供应商出具的付款申请及相应金额经采购人认可的合法有效发票之日起20</w:t>
            </w:r>
            <w:r>
              <w:rPr>
                <w:rFonts w:ascii="宋体" w:hAnsi="宋体"/>
                <w:sz w:val="24"/>
              </w:rPr>
              <w:t>个工作日内</w:t>
            </w:r>
          </w:p>
        </w:tc>
        <w:tc>
          <w:tcPr>
            <w:tcW w:w="2115" w:type="dxa"/>
            <w:vAlign w:val="center"/>
          </w:tcPr>
          <w:p w14:paraId="6E1D6CF1">
            <w:pPr>
              <w:rPr>
                <w:rFonts w:hint="eastAsia" w:ascii="宋体" w:hAnsi="宋体"/>
                <w:sz w:val="24"/>
              </w:rPr>
            </w:pPr>
            <w:r>
              <w:rPr>
                <w:rFonts w:hint="eastAsia" w:ascii="宋体" w:hAnsi="宋体"/>
                <w:sz w:val="24"/>
              </w:rPr>
              <w:t>付款至</w:t>
            </w:r>
            <w:r>
              <w:rPr>
                <w:rFonts w:ascii="宋体" w:hAnsi="宋体"/>
                <w:sz w:val="24"/>
              </w:rPr>
              <w:t>合同金额的</w:t>
            </w:r>
            <w:r>
              <w:rPr>
                <w:rFonts w:hint="eastAsia" w:ascii="宋体" w:hAnsi="宋体"/>
                <w:sz w:val="24"/>
              </w:rPr>
              <w:t>10</w:t>
            </w:r>
            <w:r>
              <w:rPr>
                <w:rFonts w:ascii="宋体" w:hAnsi="宋体"/>
                <w:sz w:val="24"/>
              </w:rPr>
              <w:t>0%</w:t>
            </w:r>
          </w:p>
        </w:tc>
      </w:tr>
    </w:tbl>
    <w:p w14:paraId="05EBEC78">
      <w:pPr>
        <w:keepNext/>
        <w:keepLines/>
        <w:adjustRightInd w:val="0"/>
        <w:spacing w:line="360" w:lineRule="auto"/>
        <w:ind w:firstLine="482" w:firstLineChars="200"/>
        <w:textAlignment w:val="baseline"/>
        <w:outlineLvl w:val="0"/>
        <w:rPr>
          <w:rFonts w:hint="eastAsia" w:ascii="宋体" w:hAnsi="宋体"/>
          <w:b/>
          <w:bCs/>
          <w:sz w:val="24"/>
        </w:rPr>
      </w:pPr>
      <w:bookmarkStart w:id="17" w:name="_Toc16241"/>
      <w:bookmarkStart w:id="18" w:name="_Toc29815"/>
      <w:bookmarkStart w:id="19" w:name="_Toc8242"/>
      <w:r>
        <w:rPr>
          <w:rFonts w:hint="eastAsia" w:ascii="宋体" w:hAnsi="宋体"/>
          <w:b/>
          <w:bCs/>
          <w:sz w:val="24"/>
        </w:rPr>
        <w:t>十</w:t>
      </w:r>
      <w:r>
        <w:rPr>
          <w:rFonts w:ascii="宋体" w:hAnsi="宋体"/>
          <w:b/>
          <w:bCs/>
          <w:sz w:val="24"/>
        </w:rPr>
        <w:t>、履约验收方案</w:t>
      </w:r>
      <w:bookmarkEnd w:id="17"/>
      <w:bookmarkEnd w:id="18"/>
      <w:bookmarkEnd w:id="19"/>
    </w:p>
    <w:p w14:paraId="46DB7C01">
      <w:pPr>
        <w:adjustRightInd w:val="0"/>
        <w:spacing w:line="360" w:lineRule="auto"/>
        <w:ind w:firstLine="482" w:firstLineChars="200"/>
        <w:textAlignment w:val="baseline"/>
        <w:rPr>
          <w:rFonts w:hint="eastAsia" w:ascii="宋体" w:hAnsi="宋体" w:cs="楷体_GB2312"/>
          <w:b/>
          <w:bCs/>
          <w:sz w:val="24"/>
        </w:rPr>
      </w:pPr>
      <w:r>
        <w:rPr>
          <w:rFonts w:hint="eastAsia" w:ascii="宋体" w:hAnsi="宋体" w:cs="楷体_GB2312"/>
          <w:b/>
          <w:bCs/>
          <w:sz w:val="24"/>
        </w:rPr>
        <w:t>（一）履约验收的主体、时间、程序</w:t>
      </w:r>
    </w:p>
    <w:p w14:paraId="6D3105FB">
      <w:pPr>
        <w:widowControl/>
        <w:adjustRightInd w:val="0"/>
        <w:spacing w:line="360" w:lineRule="auto"/>
        <w:ind w:firstLine="480" w:firstLineChars="200"/>
        <w:textAlignment w:val="baseline"/>
        <w:rPr>
          <w:rFonts w:hint="eastAsia" w:ascii="宋体" w:hAnsi="宋体"/>
          <w:sz w:val="24"/>
        </w:rPr>
      </w:pPr>
      <w:r>
        <w:rPr>
          <w:rFonts w:hint="eastAsia" w:ascii="宋体" w:hAnsi="宋体"/>
          <w:sz w:val="24"/>
        </w:rPr>
        <w:t>1</w:t>
      </w:r>
      <w:r>
        <w:rPr>
          <w:rFonts w:ascii="宋体" w:hAnsi="宋体"/>
          <w:sz w:val="24"/>
        </w:rPr>
        <w:t>.验收主体</w:t>
      </w:r>
    </w:p>
    <w:p w14:paraId="0CBF634D">
      <w:pPr>
        <w:widowControl/>
        <w:adjustRightInd w:val="0"/>
        <w:spacing w:line="360" w:lineRule="auto"/>
        <w:ind w:firstLine="480" w:firstLineChars="200"/>
        <w:textAlignment w:val="baseline"/>
        <w:rPr>
          <w:rFonts w:hint="eastAsia" w:ascii="宋体" w:hAnsi="宋体"/>
          <w:sz w:val="24"/>
        </w:rPr>
      </w:pPr>
      <w:r>
        <w:rPr>
          <w:rFonts w:ascii="宋体" w:hAnsi="宋体"/>
          <w:sz w:val="24"/>
        </w:rPr>
        <w:t>采购人组织验收。</w:t>
      </w:r>
    </w:p>
    <w:p w14:paraId="255130DB">
      <w:pPr>
        <w:widowControl/>
        <w:adjustRightInd w:val="0"/>
        <w:spacing w:line="360" w:lineRule="auto"/>
        <w:ind w:firstLine="480" w:firstLineChars="200"/>
        <w:textAlignment w:val="baseline"/>
        <w:rPr>
          <w:rFonts w:hint="eastAsia" w:ascii="宋体" w:hAnsi="宋体"/>
          <w:sz w:val="24"/>
        </w:rPr>
      </w:pPr>
      <w:r>
        <w:rPr>
          <w:rFonts w:hint="eastAsia" w:ascii="宋体" w:hAnsi="宋体"/>
          <w:sz w:val="24"/>
        </w:rPr>
        <w:t>2.验收</w:t>
      </w:r>
      <w:r>
        <w:rPr>
          <w:rFonts w:ascii="宋体" w:hAnsi="宋体"/>
          <w:sz w:val="24"/>
        </w:rPr>
        <w:t>时间</w:t>
      </w:r>
      <w:r>
        <w:rPr>
          <w:rFonts w:hint="eastAsia" w:ascii="宋体" w:hAnsi="宋体"/>
          <w:sz w:val="24"/>
        </w:rPr>
        <w:t>及程序</w:t>
      </w:r>
    </w:p>
    <w:p w14:paraId="36CBF7A8">
      <w:pPr>
        <w:widowControl/>
        <w:adjustRightInd w:val="0"/>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分两个阶段验收。第一阶段为投产验收，项目涉及系统投产上线完成并稳定运行满3个月，各项功能满足验收标准，进出口银行组织验收。第二阶段为应用运维验收，在第一阶段完成后12个月，各项功能满足验收标准，进出口银行组织验收。</w:t>
      </w:r>
    </w:p>
    <w:p w14:paraId="49E8C76A">
      <w:pPr>
        <w:spacing w:line="360" w:lineRule="auto"/>
        <w:ind w:firstLine="480" w:firstLineChars="200"/>
        <w:rPr>
          <w:rFonts w:hint="eastAsia" w:ascii="宋体" w:hAnsi="宋体"/>
          <w:sz w:val="24"/>
        </w:rPr>
      </w:pPr>
      <w:r>
        <w:rPr>
          <w:rFonts w:hint="eastAsia" w:ascii="宋体" w:hAnsi="宋体" w:cs="仿宋_GB2312"/>
          <w:sz w:val="24"/>
        </w:rPr>
        <w:t>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14:paraId="0237101E">
      <w:pPr>
        <w:numPr>
          <w:ilvl w:val="0"/>
          <w:numId w:val="7"/>
        </w:numPr>
        <w:adjustRightInd w:val="0"/>
        <w:spacing w:line="360" w:lineRule="auto"/>
        <w:ind w:firstLine="482" w:firstLineChars="200"/>
        <w:textAlignment w:val="baseline"/>
        <w:rPr>
          <w:rFonts w:hint="eastAsia" w:ascii="宋体" w:hAnsi="宋体" w:cs="楷体_GB2312"/>
          <w:b/>
          <w:bCs/>
          <w:sz w:val="24"/>
        </w:rPr>
      </w:pPr>
      <w:r>
        <w:rPr>
          <w:rFonts w:hint="eastAsia" w:ascii="宋体" w:hAnsi="宋体" w:cs="楷体_GB2312"/>
          <w:b/>
          <w:bCs/>
          <w:sz w:val="24"/>
        </w:rPr>
        <w:t>履约验收内容和标准</w:t>
      </w:r>
    </w:p>
    <w:p w14:paraId="157203E0">
      <w:pPr>
        <w:spacing w:line="360" w:lineRule="auto"/>
        <w:ind w:firstLine="480" w:firstLineChars="200"/>
        <w:rPr>
          <w:rFonts w:hint="eastAsia" w:ascii="宋体" w:hAnsi="宋体" w:cs="仿宋_GB2312"/>
          <w:sz w:val="24"/>
        </w:rPr>
      </w:pPr>
      <w:r>
        <w:rPr>
          <w:rFonts w:hint="eastAsia" w:ascii="宋体" w:hAnsi="宋体" w:cs="仿宋_GB2312"/>
          <w:sz w:val="24"/>
        </w:rPr>
        <w:t>本项目应于2026年6月30日前完成上线，供应商应严格按实施计划完成设计、开发、测试、投产等各阶段内容，并确保项目总体目标。</w:t>
      </w:r>
    </w:p>
    <w:p w14:paraId="520B6BF6">
      <w:pPr>
        <w:spacing w:line="360" w:lineRule="auto"/>
        <w:ind w:firstLine="200"/>
        <w:rPr>
          <w:rFonts w:hint="eastAsia" w:ascii="宋体" w:hAnsi="宋体" w:cs="仿宋_GB2312"/>
          <w:sz w:val="24"/>
        </w:rPr>
      </w:pPr>
      <w:bookmarkStart w:id="20" w:name="_Toc6272"/>
      <w:bookmarkStart w:id="21" w:name="_Toc20402"/>
      <w:r>
        <w:rPr>
          <w:rFonts w:hint="eastAsia" w:ascii="宋体" w:hAnsi="宋体" w:cs="仿宋_GB2312"/>
          <w:sz w:val="24"/>
        </w:rPr>
        <w:t>1.验收内容</w:t>
      </w:r>
    </w:p>
    <w:p w14:paraId="1B39A711">
      <w:pPr>
        <w:spacing w:line="360" w:lineRule="auto"/>
        <w:ind w:firstLine="200"/>
        <w:rPr>
          <w:rFonts w:hint="eastAsia" w:ascii="宋体" w:hAnsi="宋体" w:cs="仿宋_GB2312"/>
          <w:sz w:val="24"/>
        </w:rPr>
      </w:pPr>
      <w:r>
        <w:rPr>
          <w:rFonts w:hint="eastAsia" w:ascii="宋体" w:hAnsi="宋体" w:cs="仿宋_GB2312"/>
          <w:sz w:val="24"/>
        </w:rPr>
        <w:t>（1）交付件，包括文档资料、源代码等</w:t>
      </w:r>
    </w:p>
    <w:p w14:paraId="0DCB03D5">
      <w:pPr>
        <w:spacing w:line="360" w:lineRule="auto"/>
        <w:ind w:firstLine="200"/>
        <w:rPr>
          <w:rFonts w:hint="eastAsia" w:ascii="宋体" w:hAnsi="宋体" w:cs="仿宋_GB2312"/>
          <w:sz w:val="24"/>
        </w:rPr>
      </w:pPr>
      <w:r>
        <w:rPr>
          <w:rFonts w:hint="eastAsia" w:ascii="宋体" w:hAnsi="宋体" w:cs="仿宋_GB2312"/>
          <w:sz w:val="24"/>
        </w:rPr>
        <w:t>（2）适配改造的物理子系统应用软件</w:t>
      </w:r>
    </w:p>
    <w:p w14:paraId="405EAEE3">
      <w:pPr>
        <w:spacing w:line="360" w:lineRule="auto"/>
        <w:ind w:firstLine="200"/>
        <w:rPr>
          <w:rFonts w:hint="eastAsia" w:ascii="宋体" w:hAnsi="宋体" w:cs="仿宋_GB2312"/>
          <w:sz w:val="24"/>
        </w:rPr>
      </w:pPr>
      <w:r>
        <w:rPr>
          <w:rFonts w:hint="eastAsia" w:ascii="宋体" w:hAnsi="宋体" w:cs="仿宋_GB2312"/>
          <w:sz w:val="24"/>
        </w:rPr>
        <w:t>（3）以量化的SLA考核指标为依据，对供应商服务及项目完成情况进行量化评价</w:t>
      </w:r>
    </w:p>
    <w:p w14:paraId="0B681043">
      <w:pPr>
        <w:spacing w:line="360" w:lineRule="auto"/>
        <w:ind w:firstLine="200"/>
        <w:rPr>
          <w:rFonts w:hint="eastAsia" w:ascii="宋体" w:hAnsi="宋体" w:cs="仿宋_GB2312"/>
          <w:sz w:val="24"/>
        </w:rPr>
      </w:pPr>
      <w:r>
        <w:rPr>
          <w:rFonts w:hint="eastAsia" w:ascii="宋体" w:hAnsi="宋体" w:cs="仿宋_GB2312"/>
          <w:sz w:val="24"/>
        </w:rPr>
        <w:t>2.验收标准</w:t>
      </w:r>
    </w:p>
    <w:p w14:paraId="32448CFE">
      <w:pPr>
        <w:spacing w:line="360" w:lineRule="auto"/>
        <w:ind w:firstLine="200"/>
        <w:rPr>
          <w:rFonts w:hint="eastAsia" w:ascii="宋体" w:hAnsi="宋体" w:cs="仿宋_GB2312"/>
          <w:sz w:val="24"/>
        </w:rPr>
      </w:pPr>
      <w:r>
        <w:rPr>
          <w:rFonts w:hint="eastAsia" w:ascii="宋体" w:hAnsi="宋体" w:cs="仿宋_GB2312"/>
          <w:sz w:val="24"/>
        </w:rPr>
        <w:t>（1）文档验收标准</w:t>
      </w:r>
    </w:p>
    <w:p w14:paraId="0AE1BE06">
      <w:pPr>
        <w:numPr>
          <w:ilvl w:val="0"/>
          <w:numId w:val="8"/>
        </w:numPr>
        <w:spacing w:line="360" w:lineRule="auto"/>
        <w:ind w:left="0" w:firstLine="200"/>
        <w:rPr>
          <w:rFonts w:hint="eastAsia" w:ascii="宋体" w:hAnsi="宋体" w:cs="仿宋_GB2312"/>
          <w:sz w:val="24"/>
        </w:rPr>
      </w:pPr>
      <w:r>
        <w:rPr>
          <w:rFonts w:hint="eastAsia" w:ascii="宋体" w:hAnsi="宋体" w:cs="仿宋_GB2312"/>
          <w:sz w:val="24"/>
        </w:rPr>
        <w:t>文档内容应包含对应工作阶段的所有工作任务的最终成果</w:t>
      </w:r>
    </w:p>
    <w:p w14:paraId="1143A62D">
      <w:pPr>
        <w:numPr>
          <w:ilvl w:val="0"/>
          <w:numId w:val="8"/>
        </w:numPr>
        <w:spacing w:line="360" w:lineRule="auto"/>
        <w:ind w:left="0" w:firstLine="200"/>
        <w:rPr>
          <w:rFonts w:hint="eastAsia" w:ascii="宋体" w:hAnsi="宋体" w:cs="仿宋_GB2312"/>
          <w:sz w:val="24"/>
        </w:rPr>
      </w:pPr>
      <w:r>
        <w:rPr>
          <w:rFonts w:hint="eastAsia" w:ascii="宋体" w:hAnsi="宋体" w:cs="仿宋_GB2312"/>
          <w:sz w:val="24"/>
        </w:rPr>
        <w:t>文档内容无重大分歧，进出口银行能够接受文档中的主要观点、认可文档中所体现的工作成果</w:t>
      </w:r>
    </w:p>
    <w:p w14:paraId="6B4AD673">
      <w:pPr>
        <w:numPr>
          <w:ilvl w:val="0"/>
          <w:numId w:val="8"/>
        </w:numPr>
        <w:spacing w:line="360" w:lineRule="auto"/>
        <w:ind w:left="0" w:firstLine="200"/>
        <w:rPr>
          <w:rFonts w:hint="eastAsia" w:ascii="宋体" w:hAnsi="宋体" w:cs="仿宋_GB2312"/>
          <w:sz w:val="24"/>
        </w:rPr>
      </w:pPr>
      <w:r>
        <w:rPr>
          <w:rFonts w:hint="eastAsia" w:ascii="宋体" w:hAnsi="宋体" w:cs="仿宋_GB2312"/>
          <w:sz w:val="24"/>
        </w:rPr>
        <w:t>所有正式交付件表达清晰、内容完整，符合采购人要求。交付文档的描述不存在实质性的错误（包括不真实、遗漏、误差、以及对使用者可能产生误导的信息）；文字无重大或误导性错误</w:t>
      </w:r>
    </w:p>
    <w:p w14:paraId="3111EC45">
      <w:pPr>
        <w:numPr>
          <w:ilvl w:val="0"/>
          <w:numId w:val="8"/>
        </w:numPr>
        <w:spacing w:line="360" w:lineRule="auto"/>
        <w:ind w:left="0" w:firstLine="200"/>
        <w:rPr>
          <w:rFonts w:hint="eastAsia" w:ascii="宋体" w:hAnsi="宋体" w:cs="仿宋_GB2312"/>
          <w:sz w:val="24"/>
        </w:rPr>
      </w:pPr>
      <w:r>
        <w:rPr>
          <w:rFonts w:hint="eastAsia" w:ascii="宋体" w:hAnsi="宋体" w:cs="仿宋_GB2312"/>
          <w:sz w:val="24"/>
        </w:rPr>
        <w:t>文档交付齐备</w:t>
      </w:r>
    </w:p>
    <w:p w14:paraId="17A1DB86">
      <w:pPr>
        <w:numPr>
          <w:ilvl w:val="0"/>
          <w:numId w:val="8"/>
        </w:numPr>
        <w:spacing w:line="360" w:lineRule="auto"/>
        <w:ind w:left="0" w:firstLine="200"/>
        <w:rPr>
          <w:rFonts w:hint="eastAsia" w:ascii="宋体" w:hAnsi="宋体" w:cs="仿宋_GB2312"/>
          <w:sz w:val="24"/>
        </w:rPr>
      </w:pPr>
      <w:r>
        <w:rPr>
          <w:rFonts w:hint="eastAsia" w:ascii="宋体" w:hAnsi="宋体" w:cs="仿宋_GB2312"/>
          <w:sz w:val="24"/>
        </w:rPr>
        <w:t>除特别指明的并经采购人同意的英文提交文档之外，要求提供中文文档</w:t>
      </w:r>
    </w:p>
    <w:p w14:paraId="376F6FF5">
      <w:pPr>
        <w:numPr>
          <w:ilvl w:val="0"/>
          <w:numId w:val="8"/>
        </w:numPr>
        <w:spacing w:line="360" w:lineRule="auto"/>
        <w:ind w:left="0" w:firstLine="200"/>
        <w:rPr>
          <w:rFonts w:hint="eastAsia" w:ascii="宋体" w:hAnsi="宋体" w:cs="仿宋_GB2312"/>
          <w:sz w:val="24"/>
        </w:rPr>
      </w:pPr>
      <w:r>
        <w:rPr>
          <w:rFonts w:hint="eastAsia" w:ascii="宋体" w:hAnsi="宋体" w:cs="仿宋_GB2312"/>
          <w:sz w:val="24"/>
        </w:rPr>
        <w:t>提交项目全部交付件并通过采购人审核，在此基础上形成项目的《交付件交付情况一览表》，经过采购人核对认可</w:t>
      </w:r>
    </w:p>
    <w:p w14:paraId="4926E065">
      <w:pPr>
        <w:spacing w:line="360" w:lineRule="auto"/>
        <w:ind w:firstLine="200"/>
        <w:rPr>
          <w:rFonts w:hint="eastAsia" w:ascii="宋体" w:hAnsi="宋体" w:cs="仿宋_GB2312"/>
          <w:sz w:val="24"/>
        </w:rPr>
      </w:pPr>
      <w:r>
        <w:rPr>
          <w:rFonts w:hint="eastAsia" w:ascii="宋体" w:hAnsi="宋体" w:cs="仿宋_GB2312"/>
          <w:sz w:val="24"/>
        </w:rPr>
        <w:t>（2）系统验收标准</w:t>
      </w:r>
    </w:p>
    <w:p w14:paraId="737B6D16">
      <w:pPr>
        <w:numPr>
          <w:ilvl w:val="0"/>
          <w:numId w:val="8"/>
        </w:numPr>
        <w:spacing w:line="360" w:lineRule="auto"/>
        <w:ind w:left="0" w:firstLine="200"/>
        <w:rPr>
          <w:rFonts w:hint="eastAsia" w:ascii="宋体" w:hAnsi="宋体" w:cs="仿宋_GB2312"/>
          <w:sz w:val="24"/>
        </w:rPr>
      </w:pPr>
      <w:r>
        <w:rPr>
          <w:rFonts w:hint="eastAsia" w:ascii="宋体" w:hAnsi="宋体" w:cs="仿宋_GB2312"/>
          <w:sz w:val="24"/>
        </w:rPr>
        <w:t>系统符合项目工作说明书的要求</w:t>
      </w:r>
    </w:p>
    <w:p w14:paraId="6114E27F">
      <w:pPr>
        <w:numPr>
          <w:ilvl w:val="0"/>
          <w:numId w:val="8"/>
        </w:numPr>
        <w:spacing w:line="360" w:lineRule="auto"/>
        <w:ind w:left="0" w:firstLine="200"/>
        <w:rPr>
          <w:rFonts w:hint="eastAsia" w:ascii="宋体" w:hAnsi="宋体" w:cs="仿宋_GB2312"/>
          <w:sz w:val="24"/>
        </w:rPr>
      </w:pPr>
      <w:r>
        <w:rPr>
          <w:rFonts w:hint="eastAsia" w:ascii="宋体" w:hAnsi="宋体" w:cs="仿宋_GB2312"/>
          <w:sz w:val="24"/>
        </w:rPr>
        <w:t>新增系统的安全等级保护基本要求满足国家标准和监管要求中对本系统的相应要求</w:t>
      </w:r>
    </w:p>
    <w:p w14:paraId="79420590">
      <w:pPr>
        <w:numPr>
          <w:ilvl w:val="0"/>
          <w:numId w:val="8"/>
        </w:numPr>
        <w:spacing w:line="360" w:lineRule="auto"/>
        <w:ind w:left="0" w:firstLine="200"/>
        <w:rPr>
          <w:rFonts w:hint="eastAsia" w:ascii="宋体" w:hAnsi="宋体" w:cs="仿宋_GB2312"/>
          <w:sz w:val="24"/>
        </w:rPr>
      </w:pPr>
      <w:r>
        <w:rPr>
          <w:rFonts w:hint="eastAsia" w:ascii="宋体" w:hAnsi="宋体" w:cs="仿宋_GB2312"/>
          <w:sz w:val="24"/>
        </w:rPr>
        <w:t>系统通过用户接收测试，若有遗留问题须在本项目最终验收启动前解决</w:t>
      </w:r>
    </w:p>
    <w:p w14:paraId="74DC66F0">
      <w:pPr>
        <w:numPr>
          <w:ilvl w:val="0"/>
          <w:numId w:val="9"/>
        </w:numPr>
        <w:spacing w:line="360" w:lineRule="auto"/>
        <w:ind w:firstLine="200"/>
        <w:rPr>
          <w:rFonts w:hint="eastAsia" w:ascii="宋体" w:hAnsi="宋体" w:cs="仿宋_GB2312"/>
          <w:sz w:val="24"/>
        </w:rPr>
      </w:pPr>
      <w:r>
        <w:rPr>
          <w:rFonts w:hint="eastAsia" w:ascii="宋体" w:hAnsi="宋体" w:cs="仿宋_GB2312"/>
          <w:sz w:val="24"/>
        </w:rPr>
        <w:t>SLA指标考核</w:t>
      </w:r>
    </w:p>
    <w:p w14:paraId="4665E851">
      <w:pPr>
        <w:widowControl/>
        <w:spacing w:line="360" w:lineRule="auto"/>
        <w:ind w:firstLine="480" w:firstLineChars="200"/>
        <w:rPr>
          <w:rFonts w:hint="eastAsia" w:ascii="宋体" w:hAnsi="宋体"/>
          <w:sz w:val="24"/>
        </w:rPr>
      </w:pPr>
      <w:r>
        <w:rPr>
          <w:rFonts w:hint="eastAsia" w:ascii="宋体" w:hAnsi="宋体"/>
          <w:sz w:val="24"/>
        </w:rPr>
        <w:t>本项目发起验收时，进行SLA考核。指标项如下：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44"/>
        <w:gridCol w:w="1897"/>
        <w:gridCol w:w="4169"/>
        <w:gridCol w:w="847"/>
      </w:tblGrid>
      <w:tr w14:paraId="094B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E8E5141">
            <w:pPr>
              <w:widowControl/>
              <w:jc w:val="center"/>
              <w:rPr>
                <w:rFonts w:hint="eastAsia" w:ascii="宋体" w:hAnsi="宋体" w:cs="黑体"/>
                <w:kern w:val="0"/>
                <w:sz w:val="24"/>
                <w:lang w:val="en-GB"/>
              </w:rPr>
            </w:pPr>
            <w:r>
              <w:rPr>
                <w:rFonts w:hint="eastAsia" w:ascii="宋体" w:hAnsi="宋体" w:cs="黑体"/>
                <w:kern w:val="0"/>
                <w:sz w:val="24"/>
                <w:lang w:val="en-GB"/>
              </w:rPr>
              <w:t>序号</w:t>
            </w:r>
          </w:p>
        </w:tc>
        <w:tc>
          <w:tcPr>
            <w:tcW w:w="495" w:type="pct"/>
            <w:vAlign w:val="center"/>
          </w:tcPr>
          <w:p w14:paraId="44CFFEAF">
            <w:pPr>
              <w:widowControl/>
              <w:jc w:val="center"/>
              <w:rPr>
                <w:rFonts w:hint="eastAsia" w:ascii="宋体" w:hAnsi="宋体" w:cs="黑体"/>
                <w:kern w:val="0"/>
                <w:sz w:val="24"/>
                <w:lang w:val="en-GB"/>
              </w:rPr>
            </w:pPr>
            <w:r>
              <w:rPr>
                <w:rFonts w:hint="eastAsia" w:ascii="宋体" w:hAnsi="宋体" w:cs="黑体"/>
                <w:kern w:val="0"/>
                <w:sz w:val="24"/>
                <w:lang w:val="en-GB"/>
              </w:rPr>
              <w:t>指标名称</w:t>
            </w:r>
          </w:p>
        </w:tc>
        <w:tc>
          <w:tcPr>
            <w:tcW w:w="1113" w:type="pct"/>
            <w:vAlign w:val="center"/>
          </w:tcPr>
          <w:p w14:paraId="7A6A51C4">
            <w:pPr>
              <w:widowControl/>
              <w:jc w:val="center"/>
              <w:rPr>
                <w:rFonts w:hint="eastAsia" w:ascii="宋体" w:hAnsi="宋体" w:cs="黑体"/>
                <w:kern w:val="0"/>
                <w:sz w:val="24"/>
                <w:lang w:val="en-GB"/>
              </w:rPr>
            </w:pPr>
            <w:r>
              <w:rPr>
                <w:rFonts w:hint="eastAsia" w:ascii="宋体" w:hAnsi="宋体" w:cs="黑体"/>
                <w:kern w:val="0"/>
                <w:sz w:val="24"/>
                <w:lang w:val="en-GB"/>
              </w:rPr>
              <w:t>量化标准</w:t>
            </w:r>
          </w:p>
        </w:tc>
        <w:tc>
          <w:tcPr>
            <w:tcW w:w="2446" w:type="pct"/>
            <w:vAlign w:val="center"/>
          </w:tcPr>
          <w:p w14:paraId="5BCFD65F">
            <w:pPr>
              <w:widowControl/>
              <w:jc w:val="center"/>
              <w:rPr>
                <w:rFonts w:hint="eastAsia" w:ascii="宋体" w:hAnsi="宋体" w:cs="黑体"/>
                <w:kern w:val="0"/>
                <w:sz w:val="24"/>
                <w:lang w:val="en-GB"/>
              </w:rPr>
            </w:pPr>
            <w:r>
              <w:rPr>
                <w:rFonts w:hint="eastAsia" w:ascii="宋体" w:hAnsi="宋体" w:cs="黑体"/>
                <w:kern w:val="0"/>
                <w:sz w:val="24"/>
                <w:lang w:val="en-GB"/>
              </w:rPr>
              <w:t>评估方式</w:t>
            </w:r>
          </w:p>
          <w:p w14:paraId="4F5FD241">
            <w:pPr>
              <w:widowControl/>
              <w:jc w:val="center"/>
              <w:rPr>
                <w:rFonts w:hint="eastAsia" w:ascii="宋体" w:hAnsi="宋体" w:cs="黑体"/>
                <w:kern w:val="0"/>
                <w:sz w:val="24"/>
                <w:lang w:val="en-GB"/>
              </w:rPr>
            </w:pPr>
            <w:r>
              <w:rPr>
                <w:rFonts w:hint="eastAsia" w:ascii="宋体" w:hAnsi="宋体" w:cs="黑体"/>
                <w:kern w:val="0"/>
                <w:sz w:val="24"/>
                <w:lang w:val="en-GB"/>
              </w:rPr>
              <w:t>（优100-良80-中60-差0）</w:t>
            </w:r>
          </w:p>
        </w:tc>
        <w:tc>
          <w:tcPr>
            <w:tcW w:w="497" w:type="pct"/>
            <w:vAlign w:val="center"/>
          </w:tcPr>
          <w:p w14:paraId="2A11D5FD">
            <w:pPr>
              <w:widowControl/>
              <w:jc w:val="center"/>
              <w:rPr>
                <w:rFonts w:hint="eastAsia" w:ascii="宋体" w:hAnsi="宋体" w:cs="黑体"/>
                <w:kern w:val="0"/>
                <w:sz w:val="24"/>
                <w:lang w:val="en-GB"/>
              </w:rPr>
            </w:pPr>
            <w:r>
              <w:rPr>
                <w:rFonts w:hint="eastAsia" w:ascii="宋体" w:hAnsi="宋体" w:cs="黑体"/>
                <w:kern w:val="0"/>
                <w:sz w:val="24"/>
                <w:lang w:val="en-GB"/>
              </w:rPr>
              <w:t>指标占比</w:t>
            </w:r>
          </w:p>
        </w:tc>
      </w:tr>
      <w:tr w14:paraId="78C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2C7EBAF">
            <w:pPr>
              <w:widowControl/>
              <w:jc w:val="center"/>
              <w:rPr>
                <w:rFonts w:hint="eastAsia" w:ascii="宋体" w:hAnsi="宋体" w:cs="仿宋_GB2312"/>
                <w:kern w:val="0"/>
                <w:sz w:val="24"/>
                <w:lang w:val="de-DE"/>
              </w:rPr>
            </w:pPr>
            <w:r>
              <w:rPr>
                <w:rFonts w:hint="eastAsia" w:ascii="宋体" w:hAnsi="宋体" w:cs="仿宋_GB2312"/>
                <w:kern w:val="0"/>
                <w:sz w:val="24"/>
                <w:lang w:val="de-DE"/>
              </w:rPr>
              <w:t>1</w:t>
            </w:r>
          </w:p>
        </w:tc>
        <w:tc>
          <w:tcPr>
            <w:tcW w:w="495" w:type="pct"/>
            <w:vAlign w:val="center"/>
          </w:tcPr>
          <w:p w14:paraId="6AA953D7">
            <w:pPr>
              <w:widowControl/>
              <w:jc w:val="center"/>
              <w:rPr>
                <w:rFonts w:hint="eastAsia" w:ascii="宋体" w:hAnsi="宋体" w:cs="仿宋_GB2312"/>
                <w:kern w:val="0"/>
                <w:sz w:val="24"/>
                <w:lang w:val="de-DE"/>
              </w:rPr>
            </w:pPr>
            <w:r>
              <w:rPr>
                <w:rFonts w:hint="eastAsia" w:ascii="宋体" w:hAnsi="宋体" w:cs="仿宋_GB2312"/>
                <w:kern w:val="0"/>
                <w:sz w:val="24"/>
                <w:lang w:val="de-DE"/>
              </w:rPr>
              <w:t>本项目进度及计划执行率</w:t>
            </w:r>
          </w:p>
        </w:tc>
        <w:tc>
          <w:tcPr>
            <w:tcW w:w="1113" w:type="pct"/>
            <w:vAlign w:val="center"/>
          </w:tcPr>
          <w:p w14:paraId="7D0252F1">
            <w:pPr>
              <w:widowControl/>
              <w:jc w:val="center"/>
              <w:rPr>
                <w:rFonts w:hint="eastAsia" w:ascii="宋体" w:hAnsi="宋体" w:cs="仿宋_GB2312"/>
                <w:kern w:val="0"/>
                <w:sz w:val="24"/>
                <w:lang w:val="de-DE"/>
              </w:rPr>
            </w:pPr>
            <w:r>
              <w:rPr>
                <w:rFonts w:hint="eastAsia" w:ascii="宋体" w:hAnsi="宋体" w:cs="仿宋_GB2312"/>
                <w:kern w:val="0"/>
                <w:sz w:val="24"/>
                <w:lang w:val="de-DE"/>
              </w:rPr>
              <w:t>各阶段累计工作延后完成天数/各阶段累计计划天数</w:t>
            </w:r>
          </w:p>
        </w:tc>
        <w:tc>
          <w:tcPr>
            <w:tcW w:w="2446" w:type="pct"/>
            <w:vAlign w:val="center"/>
          </w:tcPr>
          <w:p w14:paraId="5D34E0B5">
            <w:pPr>
              <w:widowControl/>
              <w:rPr>
                <w:rFonts w:hint="eastAsia" w:ascii="宋体" w:hAnsi="宋体" w:cs="仿宋_GB2312"/>
                <w:kern w:val="0"/>
                <w:sz w:val="24"/>
                <w:lang w:val="en-GB"/>
              </w:rPr>
            </w:pPr>
            <w:r>
              <w:rPr>
                <w:rFonts w:hint="eastAsia" w:ascii="宋体" w:hAnsi="宋体" w:cs="仿宋_GB2312"/>
                <w:kern w:val="0"/>
                <w:sz w:val="24"/>
                <w:lang w:val="en-GB"/>
              </w:rPr>
              <w:t>1. 计划延误率</w:t>
            </w:r>
            <w:r>
              <w:rPr>
                <w:rFonts w:hint="eastAsia" w:ascii="宋体" w:hAnsi="宋体" w:cs="仿宋_GB2312"/>
                <w:kern w:val="0"/>
                <w:sz w:val="24"/>
              </w:rPr>
              <w:t>为0</w:t>
            </w:r>
            <w:r>
              <w:rPr>
                <w:rFonts w:hint="eastAsia" w:ascii="宋体" w:hAnsi="宋体" w:cs="仿宋_GB2312"/>
                <w:kern w:val="0"/>
                <w:sz w:val="24"/>
                <w:lang w:val="en-GB"/>
              </w:rPr>
              <w:t xml:space="preserve">        </w:t>
            </w:r>
            <w:r>
              <w:rPr>
                <w:rFonts w:hint="eastAsia" w:ascii="宋体" w:hAnsi="宋体" w:cs="仿宋_GB2312"/>
                <w:kern w:val="0"/>
                <w:sz w:val="24"/>
              </w:rPr>
              <w:t xml:space="preserve"> </w:t>
            </w:r>
            <w:r>
              <w:rPr>
                <w:rFonts w:hint="eastAsia" w:ascii="宋体" w:hAnsi="宋体" w:cs="仿宋_GB2312"/>
                <w:kern w:val="0"/>
                <w:sz w:val="24"/>
                <w:lang w:val="en-GB"/>
              </w:rPr>
              <w:t>优</w:t>
            </w:r>
          </w:p>
          <w:p w14:paraId="509D7504">
            <w:pPr>
              <w:widowControl/>
              <w:rPr>
                <w:rFonts w:hint="eastAsia" w:ascii="宋体" w:hAnsi="宋体" w:cs="仿宋_GB2312"/>
                <w:kern w:val="0"/>
                <w:sz w:val="24"/>
                <w:lang w:val="en-GB"/>
              </w:rPr>
            </w:pPr>
            <w:r>
              <w:rPr>
                <w:rFonts w:hint="eastAsia" w:ascii="宋体" w:hAnsi="宋体" w:cs="仿宋_GB2312"/>
                <w:kern w:val="0"/>
                <w:sz w:val="24"/>
                <w:lang w:val="en-GB"/>
              </w:rPr>
              <w:t xml:space="preserve">2. </w:t>
            </w:r>
            <w:r>
              <w:rPr>
                <w:rFonts w:hint="eastAsia" w:ascii="宋体" w:hAnsi="宋体" w:cs="仿宋_GB2312"/>
                <w:kern w:val="0"/>
                <w:sz w:val="24"/>
              </w:rPr>
              <w:t>0</w:t>
            </w:r>
            <w:r>
              <w:rPr>
                <w:rFonts w:hint="eastAsia" w:ascii="宋体" w:hAnsi="宋体" w:cs="仿宋_GB2312"/>
                <w:kern w:val="0"/>
                <w:sz w:val="24"/>
                <w:lang w:val="en-GB"/>
              </w:rPr>
              <w:t>＜计划延误率≤</w:t>
            </w:r>
            <w:r>
              <w:rPr>
                <w:rFonts w:hint="eastAsia" w:ascii="宋体" w:hAnsi="宋体" w:cs="仿宋_GB2312"/>
                <w:kern w:val="0"/>
                <w:sz w:val="24"/>
              </w:rPr>
              <w:t>1</w:t>
            </w:r>
            <w:r>
              <w:rPr>
                <w:rFonts w:hint="eastAsia" w:ascii="宋体" w:hAnsi="宋体" w:cs="仿宋_GB2312"/>
                <w:kern w:val="0"/>
                <w:sz w:val="24"/>
                <w:lang w:val="en-GB"/>
              </w:rPr>
              <w:t xml:space="preserve">%   </w:t>
            </w:r>
            <w:r>
              <w:rPr>
                <w:rFonts w:hint="eastAsia" w:ascii="宋体" w:hAnsi="宋体" w:cs="仿宋_GB2312"/>
                <w:kern w:val="0"/>
                <w:sz w:val="24"/>
              </w:rPr>
              <w:t xml:space="preserve">  </w:t>
            </w:r>
            <w:r>
              <w:rPr>
                <w:rFonts w:hint="eastAsia" w:ascii="宋体" w:hAnsi="宋体" w:cs="仿宋_GB2312"/>
                <w:kern w:val="0"/>
                <w:sz w:val="24"/>
                <w:lang w:val="en-GB"/>
              </w:rPr>
              <w:t>良</w:t>
            </w:r>
          </w:p>
          <w:p w14:paraId="439EFE8F">
            <w:pPr>
              <w:widowControl/>
              <w:rPr>
                <w:rFonts w:hint="eastAsia" w:ascii="宋体" w:hAnsi="宋体" w:cs="仿宋_GB2312"/>
                <w:kern w:val="0"/>
                <w:sz w:val="24"/>
                <w:lang w:val="en-GB"/>
              </w:rPr>
            </w:pPr>
            <w:r>
              <w:rPr>
                <w:rFonts w:hint="eastAsia" w:ascii="宋体" w:hAnsi="宋体" w:cs="仿宋_GB2312"/>
                <w:kern w:val="0"/>
                <w:sz w:val="24"/>
                <w:lang w:val="en-GB"/>
              </w:rPr>
              <w:t>3.</w:t>
            </w:r>
            <w:r>
              <w:rPr>
                <w:rFonts w:hint="eastAsia" w:ascii="宋体" w:hAnsi="宋体" w:cs="仿宋_GB2312"/>
                <w:kern w:val="0"/>
                <w:sz w:val="24"/>
              </w:rPr>
              <w:t xml:space="preserve"> 1</w:t>
            </w:r>
            <w:r>
              <w:rPr>
                <w:rFonts w:hint="eastAsia" w:ascii="宋体" w:hAnsi="宋体" w:cs="仿宋_GB2312"/>
                <w:kern w:val="0"/>
                <w:sz w:val="24"/>
                <w:lang w:val="en-GB"/>
              </w:rPr>
              <w:t>%＜计划延误率≤</w:t>
            </w:r>
            <w:r>
              <w:rPr>
                <w:rFonts w:hint="eastAsia" w:ascii="宋体" w:hAnsi="宋体" w:cs="仿宋_GB2312"/>
                <w:kern w:val="0"/>
                <w:sz w:val="24"/>
              </w:rPr>
              <w:t>3</w:t>
            </w:r>
            <w:r>
              <w:rPr>
                <w:rFonts w:hint="eastAsia" w:ascii="宋体" w:hAnsi="宋体" w:cs="仿宋_GB2312"/>
                <w:kern w:val="0"/>
                <w:sz w:val="24"/>
                <w:lang w:val="en-GB"/>
              </w:rPr>
              <w:t xml:space="preserve">%  </w:t>
            </w:r>
            <w:r>
              <w:rPr>
                <w:rFonts w:hint="eastAsia" w:ascii="宋体" w:hAnsi="宋体" w:cs="仿宋_GB2312"/>
                <w:kern w:val="0"/>
                <w:sz w:val="24"/>
              </w:rPr>
              <w:t xml:space="preserve">  </w:t>
            </w:r>
            <w:r>
              <w:rPr>
                <w:rFonts w:hint="eastAsia" w:ascii="宋体" w:hAnsi="宋体" w:cs="仿宋_GB2312"/>
                <w:kern w:val="0"/>
                <w:sz w:val="24"/>
                <w:lang w:val="en-GB"/>
              </w:rPr>
              <w:t>中</w:t>
            </w:r>
          </w:p>
          <w:p w14:paraId="45988133">
            <w:pPr>
              <w:widowControl/>
              <w:rPr>
                <w:rFonts w:hint="eastAsia" w:ascii="宋体" w:hAnsi="宋体" w:cs="仿宋_GB2312"/>
                <w:kern w:val="0"/>
                <w:sz w:val="24"/>
                <w:lang w:val="en-GB"/>
              </w:rPr>
            </w:pPr>
            <w:r>
              <w:rPr>
                <w:rFonts w:hint="eastAsia" w:ascii="宋体" w:hAnsi="宋体" w:cs="仿宋_GB2312"/>
                <w:kern w:val="0"/>
                <w:sz w:val="24"/>
                <w:lang w:val="en-GB"/>
              </w:rPr>
              <w:t>4.</w:t>
            </w:r>
            <w:r>
              <w:rPr>
                <w:rFonts w:hint="eastAsia" w:ascii="宋体" w:hAnsi="宋体" w:cs="仿宋_GB2312"/>
                <w:kern w:val="0"/>
                <w:sz w:val="24"/>
              </w:rPr>
              <w:t xml:space="preserve"> 3</w:t>
            </w:r>
            <w:r>
              <w:rPr>
                <w:rFonts w:hint="eastAsia" w:ascii="宋体" w:hAnsi="宋体" w:cs="仿宋_GB2312"/>
                <w:kern w:val="0"/>
                <w:sz w:val="24"/>
                <w:lang w:val="en-GB"/>
              </w:rPr>
              <w:t xml:space="preserve">%＜计划延误率       </w:t>
            </w:r>
            <w:r>
              <w:rPr>
                <w:rFonts w:hint="eastAsia" w:ascii="宋体" w:hAnsi="宋体" w:cs="仿宋_GB2312"/>
                <w:kern w:val="0"/>
                <w:sz w:val="24"/>
              </w:rPr>
              <w:t xml:space="preserve"> </w:t>
            </w:r>
            <w:r>
              <w:rPr>
                <w:rFonts w:hint="eastAsia" w:ascii="宋体" w:hAnsi="宋体" w:cs="仿宋_GB2312"/>
                <w:kern w:val="0"/>
                <w:sz w:val="24"/>
                <w:lang w:val="en-GB"/>
              </w:rPr>
              <w:t>差</w:t>
            </w:r>
          </w:p>
        </w:tc>
        <w:tc>
          <w:tcPr>
            <w:tcW w:w="497" w:type="pct"/>
            <w:vAlign w:val="center"/>
          </w:tcPr>
          <w:p w14:paraId="06A165C9">
            <w:pPr>
              <w:widowControl/>
              <w:jc w:val="center"/>
              <w:rPr>
                <w:rFonts w:hint="eastAsia" w:ascii="宋体" w:hAnsi="宋体" w:cs="仿宋_GB2312"/>
                <w:kern w:val="0"/>
                <w:sz w:val="24"/>
                <w:lang w:val="de-DE"/>
              </w:rPr>
            </w:pPr>
            <w:r>
              <w:rPr>
                <w:rFonts w:hint="eastAsia" w:ascii="宋体" w:hAnsi="宋体" w:cs="仿宋_GB2312"/>
                <w:kern w:val="0"/>
                <w:sz w:val="24"/>
              </w:rPr>
              <w:t>4</w:t>
            </w:r>
            <w:r>
              <w:rPr>
                <w:rFonts w:hint="eastAsia" w:ascii="宋体" w:hAnsi="宋体" w:cs="仿宋_GB2312"/>
                <w:kern w:val="0"/>
                <w:sz w:val="24"/>
                <w:lang w:val="de-DE"/>
              </w:rPr>
              <w:t>0%</w:t>
            </w:r>
          </w:p>
        </w:tc>
      </w:tr>
      <w:tr w14:paraId="7FDE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C572E7C">
            <w:pPr>
              <w:widowControl/>
              <w:jc w:val="center"/>
              <w:rPr>
                <w:rFonts w:hint="eastAsia" w:ascii="宋体" w:hAnsi="宋体" w:cs="仿宋_GB2312"/>
                <w:kern w:val="0"/>
                <w:sz w:val="24"/>
                <w:lang w:val="de-DE"/>
              </w:rPr>
            </w:pPr>
            <w:r>
              <w:rPr>
                <w:rFonts w:hint="eastAsia" w:ascii="宋体" w:hAnsi="宋体" w:cs="仿宋_GB2312"/>
                <w:kern w:val="0"/>
                <w:sz w:val="24"/>
                <w:lang w:val="de-DE"/>
              </w:rPr>
              <w:t>2</w:t>
            </w:r>
          </w:p>
        </w:tc>
        <w:tc>
          <w:tcPr>
            <w:tcW w:w="495" w:type="pct"/>
            <w:vAlign w:val="center"/>
          </w:tcPr>
          <w:p w14:paraId="079F00A0">
            <w:pPr>
              <w:widowControl/>
              <w:jc w:val="center"/>
              <w:rPr>
                <w:rFonts w:hint="eastAsia" w:ascii="宋体" w:hAnsi="宋体" w:cs="仿宋_GB2312"/>
                <w:kern w:val="0"/>
                <w:sz w:val="24"/>
                <w:lang w:val="de-DE"/>
              </w:rPr>
            </w:pPr>
            <w:r>
              <w:rPr>
                <w:rFonts w:hint="eastAsia" w:ascii="宋体" w:hAnsi="宋体" w:cs="仿宋_GB2312"/>
                <w:kern w:val="0"/>
                <w:sz w:val="24"/>
                <w:lang w:val="de-DE"/>
              </w:rPr>
              <w:t>项目投产后问题数量</w:t>
            </w:r>
          </w:p>
        </w:tc>
        <w:tc>
          <w:tcPr>
            <w:tcW w:w="1113" w:type="pct"/>
            <w:vAlign w:val="center"/>
          </w:tcPr>
          <w:p w14:paraId="79E7A8BA">
            <w:pPr>
              <w:widowControl/>
              <w:jc w:val="center"/>
              <w:rPr>
                <w:rFonts w:hint="eastAsia" w:ascii="宋体" w:hAnsi="宋体" w:cs="仿宋_GB2312"/>
                <w:kern w:val="0"/>
                <w:sz w:val="24"/>
                <w:lang w:val="de-DE"/>
              </w:rPr>
            </w:pPr>
            <w:r>
              <w:rPr>
                <w:rFonts w:hint="eastAsia" w:ascii="宋体" w:hAnsi="宋体" w:cs="仿宋_GB2312"/>
                <w:kern w:val="0"/>
                <w:sz w:val="24"/>
                <w:lang w:val="de-DE"/>
              </w:rPr>
              <w:t>投产后至验收时累计问题数</w:t>
            </w:r>
          </w:p>
        </w:tc>
        <w:tc>
          <w:tcPr>
            <w:tcW w:w="2446" w:type="pct"/>
            <w:vAlign w:val="center"/>
          </w:tcPr>
          <w:p w14:paraId="4740E706">
            <w:pPr>
              <w:widowControl/>
              <w:rPr>
                <w:rFonts w:hint="eastAsia" w:ascii="宋体" w:hAnsi="宋体" w:cs="仿宋_GB2312"/>
                <w:kern w:val="0"/>
                <w:sz w:val="24"/>
                <w:lang w:val="en-GB"/>
              </w:rPr>
            </w:pPr>
            <w:r>
              <w:rPr>
                <w:rFonts w:hint="eastAsia" w:ascii="宋体" w:hAnsi="宋体" w:cs="仿宋_GB2312"/>
                <w:kern w:val="0"/>
                <w:sz w:val="24"/>
                <w:lang w:val="en-GB"/>
              </w:rPr>
              <w:t>1.每100功能点每</w:t>
            </w:r>
            <w:r>
              <w:rPr>
                <w:rFonts w:hint="eastAsia" w:ascii="宋体" w:hAnsi="宋体" w:cs="仿宋_GB2312"/>
                <w:kern w:val="0"/>
                <w:sz w:val="24"/>
              </w:rPr>
              <w:t>3</w:t>
            </w:r>
            <w:r>
              <w:rPr>
                <w:rFonts w:hint="eastAsia" w:ascii="宋体" w:hAnsi="宋体" w:cs="仿宋_GB2312"/>
                <w:kern w:val="0"/>
                <w:sz w:val="24"/>
                <w:lang w:val="en-GB"/>
              </w:rPr>
              <w:t>月发现问题数&lt;5   优</w:t>
            </w:r>
          </w:p>
          <w:p w14:paraId="1FEBA9F9">
            <w:pPr>
              <w:widowControl/>
              <w:rPr>
                <w:rFonts w:hint="eastAsia" w:ascii="宋体" w:hAnsi="宋体" w:cs="仿宋_GB2312"/>
                <w:kern w:val="0"/>
                <w:sz w:val="24"/>
                <w:lang w:val="en-GB"/>
              </w:rPr>
            </w:pPr>
            <w:r>
              <w:rPr>
                <w:rFonts w:hint="eastAsia" w:ascii="宋体" w:hAnsi="宋体" w:cs="仿宋_GB2312"/>
                <w:kern w:val="0"/>
                <w:sz w:val="24"/>
                <w:lang w:val="en-GB"/>
              </w:rPr>
              <w:t>2.每100功能点每</w:t>
            </w:r>
            <w:r>
              <w:rPr>
                <w:rFonts w:hint="eastAsia" w:ascii="宋体" w:hAnsi="宋体" w:cs="仿宋_GB2312"/>
                <w:kern w:val="0"/>
                <w:sz w:val="24"/>
              </w:rPr>
              <w:t>3</w:t>
            </w:r>
            <w:r>
              <w:rPr>
                <w:rFonts w:hint="eastAsia" w:ascii="宋体" w:hAnsi="宋体" w:cs="仿宋_GB2312"/>
                <w:kern w:val="0"/>
                <w:sz w:val="24"/>
                <w:lang w:val="en-GB"/>
              </w:rPr>
              <w:t>月发现问题数&lt;=10 良</w:t>
            </w:r>
          </w:p>
          <w:p w14:paraId="2EE4724D">
            <w:pPr>
              <w:widowControl/>
              <w:rPr>
                <w:rFonts w:hint="eastAsia" w:ascii="宋体" w:hAnsi="宋体" w:cs="仿宋_GB2312"/>
                <w:kern w:val="0"/>
                <w:sz w:val="24"/>
                <w:lang w:val="en-GB"/>
              </w:rPr>
            </w:pPr>
            <w:r>
              <w:rPr>
                <w:rFonts w:hint="eastAsia" w:ascii="宋体" w:hAnsi="宋体" w:cs="仿宋_GB2312"/>
                <w:kern w:val="0"/>
                <w:sz w:val="24"/>
                <w:lang w:val="en-GB"/>
              </w:rPr>
              <w:t>3.每100功能点每</w:t>
            </w:r>
            <w:r>
              <w:rPr>
                <w:rFonts w:hint="eastAsia" w:ascii="宋体" w:hAnsi="宋体" w:cs="仿宋_GB2312"/>
                <w:kern w:val="0"/>
                <w:sz w:val="24"/>
              </w:rPr>
              <w:t>3</w:t>
            </w:r>
            <w:r>
              <w:rPr>
                <w:rFonts w:hint="eastAsia" w:ascii="宋体" w:hAnsi="宋体" w:cs="仿宋_GB2312"/>
                <w:kern w:val="0"/>
                <w:sz w:val="24"/>
                <w:lang w:val="en-GB"/>
              </w:rPr>
              <w:t>月发现问题数&lt;=15 中</w:t>
            </w:r>
          </w:p>
          <w:p w14:paraId="0D01BA55">
            <w:pPr>
              <w:widowControl/>
              <w:rPr>
                <w:rFonts w:hint="eastAsia" w:ascii="宋体" w:hAnsi="宋体" w:cs="仿宋_GB2312"/>
                <w:kern w:val="0"/>
                <w:sz w:val="24"/>
                <w:lang w:val="en-GB"/>
              </w:rPr>
            </w:pPr>
            <w:r>
              <w:rPr>
                <w:rFonts w:hint="eastAsia" w:ascii="宋体" w:hAnsi="宋体" w:cs="仿宋_GB2312"/>
                <w:kern w:val="0"/>
                <w:sz w:val="24"/>
                <w:lang w:val="en-GB"/>
              </w:rPr>
              <w:t>4.每100功能点每</w:t>
            </w:r>
            <w:r>
              <w:rPr>
                <w:rFonts w:hint="eastAsia" w:ascii="宋体" w:hAnsi="宋体" w:cs="仿宋_GB2312"/>
                <w:kern w:val="0"/>
                <w:sz w:val="24"/>
              </w:rPr>
              <w:t>3</w:t>
            </w:r>
            <w:r>
              <w:rPr>
                <w:rFonts w:hint="eastAsia" w:ascii="宋体" w:hAnsi="宋体" w:cs="仿宋_GB2312"/>
                <w:kern w:val="0"/>
                <w:sz w:val="24"/>
                <w:lang w:val="en-GB"/>
              </w:rPr>
              <w:t>月发现问题数&gt;15  差</w:t>
            </w:r>
          </w:p>
        </w:tc>
        <w:tc>
          <w:tcPr>
            <w:tcW w:w="497" w:type="pct"/>
            <w:vAlign w:val="center"/>
          </w:tcPr>
          <w:p w14:paraId="165617DD">
            <w:pPr>
              <w:widowControl/>
              <w:jc w:val="center"/>
              <w:rPr>
                <w:rFonts w:hint="eastAsia" w:ascii="宋体" w:hAnsi="宋体" w:cs="仿宋_GB2312"/>
                <w:kern w:val="0"/>
                <w:sz w:val="24"/>
                <w:lang w:val="de-DE"/>
              </w:rPr>
            </w:pPr>
            <w:r>
              <w:rPr>
                <w:rFonts w:hint="eastAsia" w:ascii="宋体" w:hAnsi="宋体" w:cs="仿宋_GB2312"/>
                <w:kern w:val="0"/>
                <w:sz w:val="24"/>
              </w:rPr>
              <w:t>3</w:t>
            </w:r>
            <w:r>
              <w:rPr>
                <w:rFonts w:hint="eastAsia" w:ascii="宋体" w:hAnsi="宋体" w:cs="仿宋_GB2312"/>
                <w:kern w:val="0"/>
                <w:sz w:val="24"/>
                <w:lang w:val="de-DE"/>
              </w:rPr>
              <w:t>0%</w:t>
            </w:r>
          </w:p>
        </w:tc>
      </w:tr>
      <w:tr w14:paraId="7E05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8EF4BF2">
            <w:pPr>
              <w:widowControl/>
              <w:jc w:val="center"/>
              <w:rPr>
                <w:rFonts w:hint="eastAsia" w:ascii="宋体" w:hAnsi="宋体" w:cs="仿宋_GB2312"/>
                <w:kern w:val="0"/>
                <w:sz w:val="24"/>
              </w:rPr>
            </w:pPr>
            <w:r>
              <w:rPr>
                <w:rFonts w:hint="eastAsia" w:ascii="宋体" w:hAnsi="宋体" w:cs="仿宋_GB2312"/>
                <w:kern w:val="0"/>
                <w:sz w:val="24"/>
              </w:rPr>
              <w:t>3</w:t>
            </w:r>
          </w:p>
        </w:tc>
        <w:tc>
          <w:tcPr>
            <w:tcW w:w="495" w:type="pct"/>
            <w:vAlign w:val="center"/>
          </w:tcPr>
          <w:p w14:paraId="5F414992">
            <w:pPr>
              <w:widowControl/>
              <w:jc w:val="center"/>
              <w:rPr>
                <w:rFonts w:hint="eastAsia" w:ascii="宋体" w:hAnsi="宋体" w:cs="仿宋_GB2312"/>
                <w:kern w:val="0"/>
                <w:sz w:val="24"/>
              </w:rPr>
            </w:pPr>
            <w:r>
              <w:rPr>
                <w:rFonts w:hint="eastAsia" w:ascii="宋体" w:hAnsi="宋体" w:cs="仿宋_GB2312"/>
                <w:kern w:val="0"/>
                <w:sz w:val="24"/>
              </w:rPr>
              <w:t>工单未及时处理率</w:t>
            </w:r>
          </w:p>
        </w:tc>
        <w:tc>
          <w:tcPr>
            <w:tcW w:w="1113" w:type="pct"/>
            <w:vAlign w:val="center"/>
          </w:tcPr>
          <w:p w14:paraId="66B04AE4">
            <w:pPr>
              <w:widowControl/>
              <w:jc w:val="center"/>
              <w:rPr>
                <w:rFonts w:hint="eastAsia" w:ascii="宋体" w:hAnsi="宋体" w:cs="仿宋_GB2312"/>
                <w:kern w:val="0"/>
                <w:sz w:val="24"/>
              </w:rPr>
            </w:pPr>
            <w:r>
              <w:rPr>
                <w:rFonts w:hint="eastAsia" w:ascii="宋体" w:hAnsi="宋体" w:cs="仿宋_GB2312"/>
                <w:kern w:val="0"/>
                <w:sz w:val="24"/>
              </w:rPr>
              <w:t>工单处理时长超一个月工单数量/总工单数量</w:t>
            </w:r>
          </w:p>
        </w:tc>
        <w:tc>
          <w:tcPr>
            <w:tcW w:w="2446" w:type="pct"/>
            <w:vAlign w:val="center"/>
          </w:tcPr>
          <w:p w14:paraId="1435F967">
            <w:pPr>
              <w:widowControl/>
              <w:rPr>
                <w:rFonts w:hint="eastAsia" w:ascii="宋体" w:hAnsi="宋体" w:cs="仿宋_GB2312"/>
                <w:kern w:val="0"/>
                <w:sz w:val="24"/>
              </w:rPr>
            </w:pPr>
            <w:r>
              <w:rPr>
                <w:rFonts w:hint="eastAsia" w:ascii="宋体" w:hAnsi="宋体" w:cs="仿宋_GB2312"/>
                <w:kern w:val="0"/>
                <w:sz w:val="24"/>
              </w:rPr>
              <w:t>1. 工单未及时处理率</w:t>
            </w:r>
            <w:r>
              <w:rPr>
                <w:rFonts w:hint="eastAsia" w:ascii="宋体" w:hAnsi="宋体" w:cs="仿宋_GB2312"/>
                <w:kern w:val="0"/>
                <w:sz w:val="24"/>
                <w:lang w:val="en-GB"/>
              </w:rPr>
              <w:t>≤0%</w:t>
            </w:r>
            <w:r>
              <w:rPr>
                <w:rFonts w:hint="eastAsia" w:ascii="宋体" w:hAnsi="宋体" w:cs="仿宋_GB2312"/>
                <w:kern w:val="0"/>
                <w:sz w:val="24"/>
              </w:rPr>
              <w:t xml:space="preserve">     优</w:t>
            </w:r>
          </w:p>
          <w:p w14:paraId="75AD9F75">
            <w:pPr>
              <w:widowControl/>
              <w:rPr>
                <w:rFonts w:hint="eastAsia" w:ascii="宋体" w:hAnsi="宋体" w:cs="仿宋_GB2312"/>
                <w:kern w:val="0"/>
                <w:sz w:val="24"/>
              </w:rPr>
            </w:pPr>
            <w:r>
              <w:rPr>
                <w:rFonts w:hint="eastAsia" w:ascii="宋体" w:hAnsi="宋体" w:cs="仿宋_GB2312"/>
                <w:kern w:val="0"/>
                <w:sz w:val="24"/>
              </w:rPr>
              <w:t>2. 0%&lt;工单未及时处理率</w:t>
            </w:r>
            <w:r>
              <w:rPr>
                <w:rFonts w:hint="eastAsia" w:ascii="宋体" w:hAnsi="宋体" w:cs="仿宋_GB2312"/>
                <w:kern w:val="0"/>
                <w:sz w:val="24"/>
                <w:lang w:val="en-GB"/>
              </w:rPr>
              <w:t>≤</w:t>
            </w:r>
            <w:r>
              <w:rPr>
                <w:rFonts w:hint="eastAsia" w:ascii="宋体" w:hAnsi="宋体" w:cs="仿宋_GB2312"/>
                <w:kern w:val="0"/>
                <w:sz w:val="24"/>
              </w:rPr>
              <w:t>5</w:t>
            </w:r>
            <w:r>
              <w:rPr>
                <w:rFonts w:hint="eastAsia" w:ascii="宋体" w:hAnsi="宋体" w:cs="仿宋_GB2312"/>
                <w:kern w:val="0"/>
                <w:sz w:val="24"/>
                <w:lang w:val="en-GB"/>
              </w:rPr>
              <w:t>%</w:t>
            </w:r>
            <w:r>
              <w:rPr>
                <w:rFonts w:hint="eastAsia" w:ascii="宋体" w:hAnsi="宋体" w:cs="仿宋_GB2312"/>
                <w:kern w:val="0"/>
                <w:sz w:val="24"/>
              </w:rPr>
              <w:t xml:space="preserve">  良</w:t>
            </w:r>
          </w:p>
          <w:p w14:paraId="20CB50CE">
            <w:pPr>
              <w:widowControl/>
              <w:rPr>
                <w:rFonts w:hint="eastAsia" w:ascii="宋体" w:hAnsi="宋体" w:cs="仿宋_GB2312"/>
                <w:kern w:val="0"/>
                <w:sz w:val="24"/>
              </w:rPr>
            </w:pPr>
            <w:r>
              <w:rPr>
                <w:rFonts w:hint="eastAsia" w:ascii="宋体" w:hAnsi="宋体" w:cs="仿宋_GB2312"/>
                <w:kern w:val="0"/>
                <w:sz w:val="24"/>
              </w:rPr>
              <w:t>3. 5%&lt;工单未及时处理率</w:t>
            </w:r>
            <w:r>
              <w:rPr>
                <w:rFonts w:hint="eastAsia" w:ascii="宋体" w:hAnsi="宋体" w:cs="仿宋_GB2312"/>
                <w:kern w:val="0"/>
                <w:sz w:val="24"/>
                <w:lang w:val="en-GB"/>
              </w:rPr>
              <w:t>≤</w:t>
            </w:r>
            <w:r>
              <w:rPr>
                <w:rFonts w:hint="eastAsia" w:ascii="宋体" w:hAnsi="宋体" w:cs="仿宋_GB2312"/>
                <w:kern w:val="0"/>
                <w:sz w:val="24"/>
              </w:rPr>
              <w:t>15</w:t>
            </w:r>
            <w:r>
              <w:rPr>
                <w:rFonts w:hint="eastAsia" w:ascii="宋体" w:hAnsi="宋体" w:cs="仿宋_GB2312"/>
                <w:kern w:val="0"/>
                <w:sz w:val="24"/>
                <w:lang w:val="en-GB"/>
              </w:rPr>
              <w:t>%</w:t>
            </w:r>
            <w:r>
              <w:rPr>
                <w:rFonts w:hint="eastAsia" w:ascii="宋体" w:hAnsi="宋体" w:cs="仿宋_GB2312"/>
                <w:kern w:val="0"/>
                <w:sz w:val="24"/>
              </w:rPr>
              <w:t xml:space="preserve"> 中</w:t>
            </w:r>
          </w:p>
          <w:p w14:paraId="32E7A7B5">
            <w:pPr>
              <w:widowControl/>
              <w:rPr>
                <w:rFonts w:hint="eastAsia" w:ascii="宋体" w:hAnsi="宋体" w:cs="仿宋_GB2312"/>
                <w:kern w:val="0"/>
                <w:sz w:val="24"/>
              </w:rPr>
            </w:pPr>
            <w:r>
              <w:rPr>
                <w:rFonts w:hint="eastAsia" w:ascii="宋体" w:hAnsi="宋体" w:cs="仿宋_GB2312"/>
                <w:kern w:val="0"/>
                <w:sz w:val="24"/>
              </w:rPr>
              <w:t>4. 15%&lt;工单未及时处理率     差</w:t>
            </w:r>
          </w:p>
        </w:tc>
        <w:tc>
          <w:tcPr>
            <w:tcW w:w="497" w:type="pct"/>
            <w:vAlign w:val="center"/>
          </w:tcPr>
          <w:p w14:paraId="7C199F6B">
            <w:pPr>
              <w:widowControl/>
              <w:jc w:val="center"/>
              <w:rPr>
                <w:rFonts w:hint="eastAsia" w:ascii="宋体" w:hAnsi="宋体" w:cs="仿宋_GB2312"/>
                <w:kern w:val="0"/>
                <w:sz w:val="24"/>
              </w:rPr>
            </w:pPr>
            <w:r>
              <w:rPr>
                <w:rFonts w:hint="eastAsia" w:ascii="宋体" w:hAnsi="宋体" w:cs="仿宋_GB2312"/>
                <w:kern w:val="0"/>
                <w:sz w:val="24"/>
              </w:rPr>
              <w:t>20%</w:t>
            </w:r>
          </w:p>
        </w:tc>
      </w:tr>
      <w:tr w14:paraId="55D2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0E875D6">
            <w:pPr>
              <w:widowControl/>
              <w:jc w:val="center"/>
              <w:rPr>
                <w:rFonts w:hint="eastAsia" w:ascii="宋体" w:hAnsi="宋体" w:cs="仿宋_GB2312"/>
                <w:kern w:val="0"/>
                <w:sz w:val="24"/>
              </w:rPr>
            </w:pPr>
            <w:r>
              <w:rPr>
                <w:rFonts w:hint="eastAsia" w:ascii="宋体" w:hAnsi="宋体" w:cs="仿宋_GB2312"/>
                <w:kern w:val="0"/>
                <w:sz w:val="24"/>
              </w:rPr>
              <w:t>4</w:t>
            </w:r>
          </w:p>
        </w:tc>
        <w:tc>
          <w:tcPr>
            <w:tcW w:w="495" w:type="pct"/>
            <w:vAlign w:val="center"/>
          </w:tcPr>
          <w:p w14:paraId="30FD7486">
            <w:pPr>
              <w:widowControl/>
              <w:jc w:val="center"/>
              <w:rPr>
                <w:rFonts w:hint="eastAsia" w:ascii="宋体" w:hAnsi="宋体" w:cs="仿宋_GB2312"/>
                <w:kern w:val="0"/>
                <w:sz w:val="24"/>
              </w:rPr>
            </w:pPr>
            <w:r>
              <w:rPr>
                <w:rFonts w:hint="eastAsia" w:ascii="宋体" w:hAnsi="宋体" w:cs="仿宋_GB2312"/>
                <w:kern w:val="0"/>
                <w:sz w:val="24"/>
              </w:rPr>
              <w:t>异常考勤率</w:t>
            </w:r>
          </w:p>
        </w:tc>
        <w:tc>
          <w:tcPr>
            <w:tcW w:w="1113" w:type="pct"/>
            <w:vAlign w:val="center"/>
          </w:tcPr>
          <w:p w14:paraId="066C1419">
            <w:pPr>
              <w:widowControl/>
              <w:jc w:val="center"/>
              <w:rPr>
                <w:rFonts w:hint="eastAsia" w:ascii="宋体" w:hAnsi="宋体" w:cs="仿宋_GB2312"/>
                <w:kern w:val="0"/>
                <w:sz w:val="24"/>
              </w:rPr>
            </w:pPr>
            <w:r>
              <w:rPr>
                <w:rFonts w:hint="eastAsia" w:ascii="宋体" w:hAnsi="宋体" w:cs="仿宋_GB2312"/>
                <w:kern w:val="0"/>
                <w:sz w:val="24"/>
              </w:rPr>
              <w:t>驻场期间异常考勤天数/应出勤天数</w:t>
            </w:r>
          </w:p>
        </w:tc>
        <w:tc>
          <w:tcPr>
            <w:tcW w:w="2446" w:type="pct"/>
            <w:vAlign w:val="center"/>
          </w:tcPr>
          <w:p w14:paraId="7B4BA745">
            <w:pPr>
              <w:widowControl/>
              <w:rPr>
                <w:rFonts w:hint="eastAsia" w:ascii="宋体" w:hAnsi="宋体" w:cs="仿宋_GB2312"/>
                <w:kern w:val="0"/>
                <w:sz w:val="24"/>
                <w:lang w:val="en-GB"/>
              </w:rPr>
            </w:pPr>
            <w:r>
              <w:rPr>
                <w:rFonts w:hint="eastAsia" w:ascii="宋体" w:hAnsi="宋体" w:cs="仿宋_GB2312"/>
                <w:kern w:val="0"/>
                <w:sz w:val="24"/>
                <w:lang w:val="en-GB"/>
              </w:rPr>
              <w:t xml:space="preserve">1. </w:t>
            </w:r>
            <w:r>
              <w:rPr>
                <w:rFonts w:hint="eastAsia" w:ascii="宋体" w:hAnsi="宋体" w:cs="仿宋_GB2312"/>
                <w:kern w:val="0"/>
                <w:sz w:val="24"/>
              </w:rPr>
              <w:t>异常考勤</w:t>
            </w:r>
            <w:r>
              <w:rPr>
                <w:rFonts w:hint="eastAsia" w:ascii="宋体" w:hAnsi="宋体" w:cs="仿宋_GB2312"/>
                <w:kern w:val="0"/>
                <w:sz w:val="24"/>
                <w:lang w:val="en-GB"/>
              </w:rPr>
              <w:t>率≤</w:t>
            </w:r>
            <w:r>
              <w:rPr>
                <w:rFonts w:hint="eastAsia" w:ascii="宋体" w:hAnsi="宋体" w:cs="仿宋_GB2312"/>
                <w:kern w:val="0"/>
                <w:sz w:val="24"/>
              </w:rPr>
              <w:t>5</w:t>
            </w:r>
            <w:r>
              <w:rPr>
                <w:rFonts w:hint="eastAsia" w:ascii="宋体" w:hAnsi="宋体" w:cs="仿宋_GB2312"/>
                <w:kern w:val="0"/>
                <w:sz w:val="24"/>
                <w:lang w:val="en-GB"/>
              </w:rPr>
              <w:t>%        优</w:t>
            </w:r>
          </w:p>
          <w:p w14:paraId="205CF801">
            <w:pPr>
              <w:widowControl/>
              <w:rPr>
                <w:rFonts w:hint="eastAsia" w:ascii="宋体" w:hAnsi="宋体" w:cs="仿宋_GB2312"/>
                <w:kern w:val="0"/>
                <w:sz w:val="24"/>
                <w:lang w:val="en-GB"/>
              </w:rPr>
            </w:pPr>
            <w:r>
              <w:rPr>
                <w:rFonts w:hint="eastAsia" w:ascii="宋体" w:hAnsi="宋体" w:cs="仿宋_GB2312"/>
                <w:kern w:val="0"/>
                <w:sz w:val="24"/>
                <w:lang w:val="en-GB"/>
              </w:rPr>
              <w:t xml:space="preserve">2. </w:t>
            </w:r>
            <w:r>
              <w:rPr>
                <w:rFonts w:hint="eastAsia" w:ascii="宋体" w:hAnsi="宋体" w:cs="仿宋_GB2312"/>
                <w:kern w:val="0"/>
                <w:sz w:val="24"/>
              </w:rPr>
              <w:t>5</w:t>
            </w:r>
            <w:r>
              <w:rPr>
                <w:rFonts w:hint="eastAsia" w:ascii="宋体" w:hAnsi="宋体" w:cs="仿宋_GB2312"/>
                <w:kern w:val="0"/>
                <w:sz w:val="24"/>
                <w:lang w:val="en-GB"/>
              </w:rPr>
              <w:t>%＜</w:t>
            </w:r>
            <w:r>
              <w:rPr>
                <w:rFonts w:hint="eastAsia" w:ascii="宋体" w:hAnsi="宋体" w:cs="仿宋_GB2312"/>
                <w:kern w:val="0"/>
                <w:sz w:val="24"/>
              </w:rPr>
              <w:t>异常考勤</w:t>
            </w:r>
            <w:r>
              <w:rPr>
                <w:rFonts w:hint="eastAsia" w:ascii="宋体" w:hAnsi="宋体" w:cs="仿宋_GB2312"/>
                <w:kern w:val="0"/>
                <w:sz w:val="24"/>
                <w:lang w:val="en-GB"/>
              </w:rPr>
              <w:t>率≤</w:t>
            </w:r>
            <w:r>
              <w:rPr>
                <w:rFonts w:hint="eastAsia" w:ascii="宋体" w:hAnsi="宋体" w:cs="仿宋_GB2312"/>
                <w:kern w:val="0"/>
                <w:sz w:val="24"/>
              </w:rPr>
              <w:t>10</w:t>
            </w:r>
            <w:r>
              <w:rPr>
                <w:rFonts w:hint="eastAsia" w:ascii="宋体" w:hAnsi="宋体" w:cs="仿宋_GB2312"/>
                <w:kern w:val="0"/>
                <w:sz w:val="24"/>
                <w:lang w:val="en-GB"/>
              </w:rPr>
              <w:t>%   良</w:t>
            </w:r>
          </w:p>
          <w:p w14:paraId="29A3149C">
            <w:pPr>
              <w:widowControl/>
              <w:rPr>
                <w:rFonts w:hint="eastAsia" w:ascii="宋体" w:hAnsi="宋体" w:cs="仿宋_GB2312"/>
                <w:kern w:val="0"/>
                <w:sz w:val="24"/>
                <w:lang w:val="en-GB"/>
              </w:rPr>
            </w:pPr>
            <w:r>
              <w:rPr>
                <w:rFonts w:hint="eastAsia" w:ascii="宋体" w:hAnsi="宋体" w:cs="仿宋_GB2312"/>
                <w:kern w:val="0"/>
                <w:sz w:val="24"/>
                <w:lang w:val="en-GB"/>
              </w:rPr>
              <w:t>3.</w:t>
            </w:r>
            <w:r>
              <w:rPr>
                <w:rFonts w:hint="eastAsia" w:ascii="宋体" w:hAnsi="宋体" w:cs="仿宋_GB2312"/>
                <w:kern w:val="0"/>
                <w:sz w:val="24"/>
              </w:rPr>
              <w:t xml:space="preserve"> 10</w:t>
            </w:r>
            <w:r>
              <w:rPr>
                <w:rFonts w:hint="eastAsia" w:ascii="宋体" w:hAnsi="宋体" w:cs="仿宋_GB2312"/>
                <w:kern w:val="0"/>
                <w:sz w:val="24"/>
                <w:lang w:val="en-GB"/>
              </w:rPr>
              <w:t>%＜</w:t>
            </w:r>
            <w:r>
              <w:rPr>
                <w:rFonts w:hint="eastAsia" w:ascii="宋体" w:hAnsi="宋体" w:cs="仿宋_GB2312"/>
                <w:kern w:val="0"/>
                <w:sz w:val="24"/>
              </w:rPr>
              <w:t>异常考勤</w:t>
            </w:r>
            <w:r>
              <w:rPr>
                <w:rFonts w:hint="eastAsia" w:ascii="宋体" w:hAnsi="宋体" w:cs="仿宋_GB2312"/>
                <w:kern w:val="0"/>
                <w:sz w:val="24"/>
                <w:lang w:val="en-GB"/>
              </w:rPr>
              <w:t>率≤15%  中</w:t>
            </w:r>
          </w:p>
          <w:p w14:paraId="705A5AC4">
            <w:pPr>
              <w:widowControl/>
              <w:rPr>
                <w:rFonts w:hint="eastAsia" w:ascii="宋体" w:hAnsi="宋体" w:cs="仿宋_GB2312"/>
                <w:kern w:val="0"/>
                <w:sz w:val="24"/>
              </w:rPr>
            </w:pPr>
            <w:r>
              <w:rPr>
                <w:rFonts w:hint="eastAsia" w:ascii="宋体" w:hAnsi="宋体" w:cs="仿宋_GB2312"/>
                <w:kern w:val="0"/>
                <w:sz w:val="24"/>
                <w:lang w:val="en-GB"/>
              </w:rPr>
              <w:t>4.</w:t>
            </w:r>
            <w:r>
              <w:rPr>
                <w:rFonts w:hint="eastAsia" w:ascii="宋体" w:hAnsi="宋体" w:cs="仿宋_GB2312"/>
                <w:kern w:val="0"/>
                <w:sz w:val="24"/>
              </w:rPr>
              <w:t xml:space="preserve"> </w:t>
            </w:r>
            <w:r>
              <w:rPr>
                <w:rFonts w:hint="eastAsia" w:ascii="宋体" w:hAnsi="宋体" w:cs="仿宋_GB2312"/>
                <w:kern w:val="0"/>
                <w:sz w:val="24"/>
                <w:lang w:val="en-GB"/>
              </w:rPr>
              <w:t>15%＜</w:t>
            </w:r>
            <w:r>
              <w:rPr>
                <w:rFonts w:hint="eastAsia" w:ascii="宋体" w:hAnsi="宋体" w:cs="仿宋_GB2312"/>
                <w:kern w:val="0"/>
                <w:sz w:val="24"/>
              </w:rPr>
              <w:t>异常考勤</w:t>
            </w:r>
            <w:r>
              <w:rPr>
                <w:rFonts w:hint="eastAsia" w:ascii="宋体" w:hAnsi="宋体" w:cs="仿宋_GB2312"/>
                <w:kern w:val="0"/>
                <w:sz w:val="24"/>
                <w:lang w:val="en-GB"/>
              </w:rPr>
              <w:t>率       差</w:t>
            </w:r>
          </w:p>
        </w:tc>
        <w:tc>
          <w:tcPr>
            <w:tcW w:w="497" w:type="pct"/>
            <w:vAlign w:val="center"/>
          </w:tcPr>
          <w:p w14:paraId="555916F3">
            <w:pPr>
              <w:widowControl/>
              <w:jc w:val="center"/>
              <w:rPr>
                <w:rFonts w:hint="eastAsia" w:ascii="宋体" w:hAnsi="宋体" w:cs="仿宋_GB2312"/>
                <w:kern w:val="0"/>
                <w:sz w:val="24"/>
              </w:rPr>
            </w:pPr>
            <w:r>
              <w:rPr>
                <w:rFonts w:hint="eastAsia" w:ascii="宋体" w:hAnsi="宋体" w:cs="仿宋_GB2312"/>
                <w:kern w:val="0"/>
                <w:sz w:val="24"/>
              </w:rPr>
              <w:t>10%</w:t>
            </w:r>
          </w:p>
        </w:tc>
      </w:tr>
      <w:tr w14:paraId="3191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7F927B4E">
            <w:pPr>
              <w:widowControl/>
              <w:tabs>
                <w:tab w:val="left" w:pos="2252"/>
              </w:tabs>
              <w:rPr>
                <w:rFonts w:hint="eastAsia" w:ascii="宋体" w:hAnsi="宋体" w:cs="仿宋_GB2312"/>
                <w:kern w:val="0"/>
                <w:sz w:val="24"/>
              </w:rPr>
            </w:pPr>
            <w:r>
              <w:rPr>
                <w:rFonts w:hint="eastAsia" w:ascii="宋体" w:hAnsi="宋体" w:cs="仿宋_GB2312"/>
                <w:kern w:val="0"/>
                <w:sz w:val="24"/>
              </w:rPr>
              <w:t>说明：本项目涉及功能点情况和数量随报价文件一并提供，应与工作量评估底稿一致；考勤率结合采购人外包考勤情况进行计算。</w:t>
            </w:r>
          </w:p>
        </w:tc>
      </w:tr>
    </w:tbl>
    <w:p w14:paraId="32D6EE30">
      <w:pPr>
        <w:spacing w:line="360" w:lineRule="auto"/>
        <w:ind w:firstLine="480" w:firstLineChars="200"/>
        <w:rPr>
          <w:rFonts w:hint="eastAsia" w:ascii="宋体" w:hAnsi="宋体"/>
          <w:sz w:val="24"/>
        </w:rPr>
      </w:pPr>
      <w:r>
        <w:rPr>
          <w:rFonts w:hint="eastAsia" w:ascii="宋体" w:hAnsi="宋体"/>
          <w:sz w:val="24"/>
        </w:rPr>
        <w:t xml:space="preserve">根据SLA最后得分情况，划分为四个等级： </w:t>
      </w:r>
    </w:p>
    <w:p w14:paraId="7A7C8099">
      <w:pPr>
        <w:spacing w:line="360" w:lineRule="auto"/>
        <w:ind w:firstLine="480" w:firstLineChars="200"/>
        <w:rPr>
          <w:rFonts w:hint="eastAsia" w:ascii="宋体" w:hAnsi="宋体"/>
          <w:sz w:val="24"/>
        </w:rPr>
      </w:pPr>
      <w:r>
        <w:rPr>
          <w:rFonts w:hint="eastAsia" w:ascii="宋体" w:hAnsi="宋体"/>
          <w:sz w:val="24"/>
        </w:rPr>
        <w:t>SLA&gt;=95的为优；</w:t>
      </w:r>
    </w:p>
    <w:p w14:paraId="155E73A2">
      <w:pPr>
        <w:spacing w:line="360" w:lineRule="auto"/>
        <w:ind w:firstLine="480" w:firstLineChars="200"/>
        <w:rPr>
          <w:rFonts w:hint="eastAsia" w:ascii="宋体" w:hAnsi="宋体"/>
          <w:sz w:val="24"/>
        </w:rPr>
      </w:pPr>
      <w:r>
        <w:rPr>
          <w:rFonts w:hint="eastAsia" w:ascii="宋体" w:hAnsi="宋体"/>
          <w:sz w:val="24"/>
        </w:rPr>
        <w:t>SLA在80-95的为良；</w:t>
      </w:r>
    </w:p>
    <w:p w14:paraId="6386BFAD">
      <w:pPr>
        <w:spacing w:line="360" w:lineRule="auto"/>
        <w:ind w:firstLine="480" w:firstLineChars="200"/>
        <w:rPr>
          <w:rFonts w:hint="eastAsia" w:ascii="宋体" w:hAnsi="宋体"/>
          <w:sz w:val="24"/>
        </w:rPr>
      </w:pPr>
      <w:r>
        <w:rPr>
          <w:rFonts w:hint="eastAsia" w:ascii="宋体" w:hAnsi="宋体"/>
          <w:sz w:val="24"/>
        </w:rPr>
        <w:t>SLA在60-80的为中；</w:t>
      </w:r>
    </w:p>
    <w:p w14:paraId="43744808">
      <w:pPr>
        <w:spacing w:line="360" w:lineRule="auto"/>
        <w:ind w:firstLine="200"/>
        <w:rPr>
          <w:rFonts w:hint="eastAsia" w:ascii="宋体" w:hAnsi="宋体"/>
          <w:sz w:val="24"/>
        </w:rPr>
      </w:pPr>
      <w:r>
        <w:rPr>
          <w:rFonts w:hint="eastAsia" w:ascii="宋体" w:hAnsi="宋体"/>
          <w:sz w:val="24"/>
        </w:rPr>
        <w:t>SLA&lt;60的为差。</w:t>
      </w:r>
    </w:p>
    <w:p w14:paraId="5EFC423B">
      <w:pPr>
        <w:adjustRightInd w:val="0"/>
        <w:spacing w:line="360" w:lineRule="auto"/>
        <w:ind w:firstLine="482" w:firstLineChars="200"/>
        <w:textAlignment w:val="baseline"/>
        <w:rPr>
          <w:rFonts w:hint="eastAsia" w:ascii="宋体" w:hAnsi="宋体" w:cs="楷体_GB2312"/>
          <w:b/>
          <w:bCs/>
          <w:sz w:val="24"/>
        </w:rPr>
      </w:pPr>
      <w:bookmarkStart w:id="22" w:name="_Toc7716"/>
      <w:r>
        <w:rPr>
          <w:rFonts w:hint="eastAsia" w:ascii="宋体" w:hAnsi="宋体" w:cs="楷体_GB2312"/>
          <w:b/>
          <w:bCs/>
          <w:sz w:val="24"/>
        </w:rPr>
        <w:t>（三）违约责任</w:t>
      </w:r>
      <w:bookmarkEnd w:id="22"/>
    </w:p>
    <w:p w14:paraId="0E85BDC9">
      <w:pPr>
        <w:spacing w:line="360" w:lineRule="auto"/>
        <w:ind w:firstLine="480" w:firstLineChars="200"/>
        <w:rPr>
          <w:rFonts w:hint="eastAsia" w:ascii="宋体" w:hAnsi="宋体" w:cs="仿宋_GB2312"/>
          <w:sz w:val="24"/>
        </w:rPr>
      </w:pPr>
      <w:r>
        <w:rPr>
          <w:rFonts w:hint="eastAsia" w:ascii="宋体" w:hAnsi="宋体" w:cs="仿宋_GB2312"/>
          <w:sz w:val="24"/>
        </w:rPr>
        <w:t>1.供应商在合同签署后，需要按上线计划完成投产上线。如因供应商原因导致未能按期投产上线，将按照每逾期一日，扣除“合同价款”的千分之五（5‰）。逾期超过90日，采购人将扣除项目全部未付款项，追索全部已付价款，且有权要求供应商须继续履行完成合同内容。</w:t>
      </w:r>
    </w:p>
    <w:p w14:paraId="3BCE6E29">
      <w:pPr>
        <w:spacing w:line="360" w:lineRule="auto"/>
        <w:ind w:firstLine="480" w:firstLineChars="200"/>
        <w:rPr>
          <w:rFonts w:hint="eastAsia" w:ascii="宋体" w:hAnsi="宋体" w:cs="仿宋_GB2312"/>
          <w:sz w:val="24"/>
        </w:rPr>
      </w:pPr>
      <w:r>
        <w:rPr>
          <w:rFonts w:hint="eastAsia" w:ascii="宋体" w:hAnsi="宋体" w:cs="仿宋_GB2312"/>
          <w:sz w:val="24"/>
        </w:rPr>
        <w:t>2.由于供应商原因造成采购人被监管单位处罚的，采购人有权追究供应商责任。</w:t>
      </w:r>
    </w:p>
    <w:p w14:paraId="7964DFD3">
      <w:pPr>
        <w:spacing w:line="360" w:lineRule="auto"/>
        <w:ind w:firstLine="480" w:firstLineChars="200"/>
        <w:rPr>
          <w:rFonts w:hint="eastAsia" w:ascii="宋体" w:hAnsi="宋体" w:cs="仿宋_GB2312"/>
          <w:sz w:val="24"/>
        </w:rPr>
      </w:pPr>
      <w:r>
        <w:rPr>
          <w:rFonts w:hint="eastAsia" w:ascii="宋体" w:hAnsi="宋体" w:cs="仿宋_GB2312"/>
          <w:sz w:val="24"/>
        </w:rPr>
        <w:t>3.SLA考核的罚则。</w:t>
      </w:r>
    </w:p>
    <w:p w14:paraId="2DEBA60D">
      <w:pPr>
        <w:spacing w:line="360" w:lineRule="auto"/>
        <w:ind w:firstLine="480" w:firstLineChars="200"/>
        <w:rPr>
          <w:rFonts w:hint="eastAsia" w:ascii="宋体" w:hAnsi="宋体" w:cs="仿宋_GB2312"/>
          <w:sz w:val="24"/>
        </w:rPr>
      </w:pPr>
      <w:r>
        <w:rPr>
          <w:rFonts w:hint="eastAsia" w:ascii="宋体" w:hAnsi="宋体" w:cs="仿宋_GB2312"/>
          <w:sz w:val="24"/>
        </w:rPr>
        <w:t>（1）SLA考核为良：约谈公司高管，提出服务质量保障具体措施并限期落实；</w:t>
      </w:r>
    </w:p>
    <w:p w14:paraId="444E1910">
      <w:pPr>
        <w:spacing w:line="360" w:lineRule="auto"/>
        <w:ind w:firstLine="480" w:firstLineChars="200"/>
        <w:rPr>
          <w:rFonts w:hint="eastAsia" w:ascii="宋体" w:hAnsi="宋体" w:cs="仿宋_GB2312"/>
          <w:sz w:val="24"/>
        </w:rPr>
      </w:pPr>
      <w:r>
        <w:rPr>
          <w:rFonts w:hint="eastAsia" w:ascii="宋体" w:hAnsi="宋体" w:cs="仿宋_GB2312"/>
          <w:sz w:val="24"/>
        </w:rPr>
        <w:t>（2）SLA考核为中：约谈公司高管，提出服务质量保障具体措施并限期落实，从本次付款起每期付款顺次延迟半年支付，如有多次延迟的，延迟期限叠加。</w:t>
      </w:r>
    </w:p>
    <w:p w14:paraId="03245A93">
      <w:pPr>
        <w:spacing w:line="360" w:lineRule="auto"/>
        <w:ind w:firstLine="480" w:firstLineChars="200"/>
        <w:rPr>
          <w:rFonts w:hint="eastAsia" w:ascii="宋体" w:hAnsi="宋体" w:cs="仿宋_GB2312"/>
          <w:sz w:val="24"/>
        </w:rPr>
      </w:pPr>
      <w:r>
        <w:rPr>
          <w:rFonts w:hint="eastAsia" w:ascii="宋体" w:hAnsi="宋体" w:cs="仿宋_GB2312"/>
          <w:sz w:val="24"/>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p w14:paraId="24B37220">
      <w:pPr>
        <w:adjustRightInd w:val="0"/>
        <w:spacing w:line="360" w:lineRule="auto"/>
        <w:ind w:firstLine="482" w:firstLineChars="200"/>
        <w:textAlignment w:val="baseline"/>
        <w:outlineLvl w:val="0"/>
        <w:rPr>
          <w:rFonts w:hint="eastAsia" w:ascii="宋体" w:hAnsi="宋体"/>
          <w:b/>
          <w:bCs/>
          <w:sz w:val="24"/>
        </w:rPr>
      </w:pPr>
      <w:bookmarkStart w:id="23" w:name="_Toc31954"/>
      <w:r>
        <w:rPr>
          <w:rFonts w:hint="eastAsia" w:ascii="宋体" w:hAnsi="宋体"/>
          <w:b/>
          <w:bCs/>
          <w:sz w:val="24"/>
        </w:rPr>
        <w:fldChar w:fldCharType="begin"/>
      </w:r>
      <w:r>
        <w:rPr>
          <w:rFonts w:hint="eastAsia" w:ascii="宋体" w:hAnsi="宋体"/>
          <w:b/>
          <w:bCs/>
          <w:sz w:val="24"/>
        </w:rPr>
        <w:instrText xml:space="preserve"> HYPERLINK \l _Toc15097 </w:instrText>
      </w:r>
      <w:r>
        <w:rPr>
          <w:rFonts w:hint="eastAsia" w:ascii="宋体" w:hAnsi="宋体"/>
          <w:b/>
          <w:bCs/>
          <w:sz w:val="24"/>
        </w:rPr>
        <w:fldChar w:fldCharType="separate"/>
      </w:r>
      <w:r>
        <w:rPr>
          <w:rFonts w:hint="eastAsia" w:ascii="宋体" w:hAnsi="宋体"/>
          <w:b/>
          <w:bCs/>
          <w:sz w:val="24"/>
        </w:rPr>
        <w:t>十一、投标资质要求</w:t>
      </w:r>
      <w:r>
        <w:rPr>
          <w:rFonts w:hint="eastAsia" w:ascii="宋体" w:hAnsi="宋体"/>
          <w:b/>
          <w:bCs/>
          <w:sz w:val="24"/>
        </w:rPr>
        <w:fldChar w:fldCharType="end"/>
      </w:r>
      <w:bookmarkEnd w:id="23"/>
    </w:p>
    <w:p w14:paraId="132DFC5D">
      <w:pPr>
        <w:adjustRightInd w:val="0"/>
        <w:spacing w:line="360" w:lineRule="auto"/>
        <w:ind w:firstLine="482" w:firstLineChars="200"/>
        <w:textAlignment w:val="baseline"/>
        <w:outlineLvl w:val="0"/>
        <w:rPr>
          <w:rFonts w:hint="eastAsia" w:ascii="宋体" w:hAnsi="宋体" w:cs="楷体_GB2312"/>
          <w:b/>
          <w:bCs/>
          <w:sz w:val="24"/>
        </w:rPr>
      </w:pPr>
      <w:r>
        <w:rPr>
          <w:rFonts w:hint="eastAsia" w:ascii="宋体" w:hAnsi="宋体" w:cs="楷体_GB2312"/>
          <w:b/>
          <w:bCs/>
          <w:sz w:val="24"/>
        </w:rPr>
        <w:t>无。</w:t>
      </w:r>
    </w:p>
    <w:p w14:paraId="663731E2">
      <w:pPr>
        <w:adjustRightInd w:val="0"/>
        <w:spacing w:line="360" w:lineRule="auto"/>
        <w:ind w:firstLine="482" w:firstLineChars="200"/>
        <w:textAlignment w:val="baseline"/>
        <w:outlineLvl w:val="0"/>
        <w:rPr>
          <w:rFonts w:hint="eastAsia" w:ascii="宋体" w:hAnsi="宋体"/>
          <w:b/>
          <w:bCs/>
          <w:sz w:val="24"/>
        </w:rPr>
      </w:pPr>
      <w:bookmarkStart w:id="24" w:name="_Toc17124"/>
      <w:r>
        <w:rPr>
          <w:rFonts w:hint="eastAsia" w:ascii="宋体" w:hAnsi="宋体"/>
          <w:b/>
          <w:bCs/>
          <w:sz w:val="24"/>
        </w:rPr>
        <w:fldChar w:fldCharType="begin"/>
      </w:r>
      <w:r>
        <w:rPr>
          <w:rFonts w:hint="eastAsia" w:ascii="宋体" w:hAnsi="宋体"/>
          <w:b/>
          <w:bCs/>
          <w:sz w:val="24"/>
        </w:rPr>
        <w:instrText xml:space="preserve"> HYPERLINK \l _Toc6280 </w:instrText>
      </w:r>
      <w:r>
        <w:rPr>
          <w:rFonts w:hint="eastAsia" w:ascii="宋体" w:hAnsi="宋体"/>
          <w:b/>
          <w:bCs/>
          <w:sz w:val="24"/>
        </w:rPr>
        <w:fldChar w:fldCharType="separate"/>
      </w:r>
      <w:r>
        <w:rPr>
          <w:rFonts w:hint="eastAsia" w:ascii="宋体" w:hAnsi="宋体"/>
          <w:b/>
          <w:bCs/>
          <w:sz w:val="24"/>
        </w:rPr>
        <w:t>十二、投标人及产品的技术、能力、认证等相关证书</w:t>
      </w:r>
      <w:r>
        <w:rPr>
          <w:rFonts w:hint="eastAsia" w:ascii="宋体" w:hAnsi="宋体"/>
          <w:b/>
          <w:bCs/>
          <w:sz w:val="24"/>
        </w:rPr>
        <w:fldChar w:fldCharType="end"/>
      </w:r>
      <w:bookmarkEnd w:id="24"/>
    </w:p>
    <w:p w14:paraId="6E818A7C">
      <w:pPr>
        <w:adjustRightInd w:val="0"/>
        <w:spacing w:line="360" w:lineRule="auto"/>
        <w:ind w:firstLine="482" w:firstLineChars="200"/>
        <w:textAlignment w:val="baseline"/>
        <w:outlineLvl w:val="0"/>
        <w:rPr>
          <w:rFonts w:hint="eastAsia" w:ascii="宋体" w:hAnsi="宋体" w:cs="楷体_GB2312"/>
          <w:b/>
          <w:bCs/>
          <w:sz w:val="24"/>
        </w:rPr>
      </w:pPr>
      <w:bookmarkStart w:id="25" w:name="_Toc21257"/>
      <w:bookmarkStart w:id="26" w:name="_Toc25955"/>
      <w:bookmarkStart w:id="27" w:name="_Toc12607"/>
      <w:r>
        <w:rPr>
          <w:rFonts w:hint="eastAsia" w:ascii="宋体" w:hAnsi="宋体" w:cs="楷体_GB2312"/>
          <w:b/>
          <w:bCs/>
          <w:sz w:val="24"/>
        </w:rPr>
        <w:t>（一）案例要求</w:t>
      </w:r>
      <w:bookmarkEnd w:id="25"/>
      <w:bookmarkEnd w:id="26"/>
      <w:bookmarkEnd w:id="27"/>
    </w:p>
    <w:p w14:paraId="7AAA99A6">
      <w:pPr>
        <w:spacing w:line="360" w:lineRule="auto"/>
        <w:ind w:firstLine="480" w:firstLineChars="200"/>
        <w:rPr>
          <w:rFonts w:hint="eastAsia" w:ascii="宋体" w:hAnsi="宋体" w:cs="仿宋_GB2312"/>
          <w:sz w:val="24"/>
        </w:rPr>
      </w:pPr>
      <w:r>
        <w:rPr>
          <w:rFonts w:hint="eastAsia" w:ascii="宋体" w:hAnsi="宋体" w:cs="仿宋_GB2312"/>
          <w:sz w:val="24"/>
        </w:rPr>
        <w:t>投标人具有银行总行级同类项目实施经验（</w:t>
      </w:r>
      <w:bookmarkStart w:id="28" w:name="_Hlk218968268"/>
      <w:r>
        <w:rPr>
          <w:rFonts w:hint="eastAsia" w:ascii="宋体" w:hAnsi="宋体" w:cs="宋体"/>
          <w:color w:val="0D0D0D"/>
          <w:sz w:val="24"/>
        </w:rPr>
        <w:t>开发性金融机构、政策性银行、国有大型商业银行和股份制商业银行</w:t>
      </w:r>
      <w:bookmarkEnd w:id="28"/>
      <w:r>
        <w:rPr>
          <w:rFonts w:hint="eastAsia" w:ascii="宋体" w:hAnsi="宋体" w:cs="仿宋_GB2312"/>
          <w:sz w:val="24"/>
        </w:rPr>
        <w:t>），请提供近五年（合同签订日期为2021年1月1日后，以签约日期为准）同类项目实施案例，需提供证明文件。同一采购人（含其分支机构）的多个同类项目原则上认定为一个案例。提供原厂技术支持承诺书。（商务分）</w:t>
      </w:r>
    </w:p>
    <w:p w14:paraId="7DD57701">
      <w:pPr>
        <w:spacing w:line="360" w:lineRule="auto"/>
        <w:ind w:firstLine="480" w:firstLineChars="200"/>
        <w:rPr>
          <w:rFonts w:hint="eastAsia" w:ascii="宋体" w:hAnsi="宋体" w:cs="仿宋_GB2312"/>
          <w:sz w:val="24"/>
        </w:rPr>
      </w:pPr>
      <w:r>
        <w:rPr>
          <w:rFonts w:hint="eastAsia" w:ascii="宋体" w:hAnsi="宋体" w:cs="仿宋_GB2312"/>
          <w:sz w:val="24"/>
        </w:rPr>
        <w:t>证明材料要求：</w:t>
      </w:r>
    </w:p>
    <w:p w14:paraId="01434B64">
      <w:pPr>
        <w:spacing w:line="360" w:lineRule="auto"/>
        <w:ind w:firstLine="480" w:firstLineChars="200"/>
        <w:rPr>
          <w:rFonts w:hint="eastAsia" w:ascii="宋体" w:hAnsi="宋体" w:cs="仿宋_GB2312"/>
          <w:sz w:val="24"/>
        </w:rPr>
      </w:pPr>
      <w:r>
        <w:rPr>
          <w:rFonts w:hint="eastAsia" w:ascii="宋体" w:hAnsi="宋体" w:cs="仿宋_GB2312"/>
          <w:sz w:val="24"/>
        </w:rPr>
        <w:t>案例要求为系统开发建设案例，需提供采购合同；证明材料应包含最终使用方、订单签订日期、合同签字盖章页、所涉及功能、产品型号（名称）及采购数量；不能明确最终使用方、合同/订单签订日期、业务功能、型号（名称）及采购数量的案例无效。证明材料均需加盖原厂商公章。</w:t>
      </w:r>
    </w:p>
    <w:p w14:paraId="0DAFEFB5">
      <w:pPr>
        <w:adjustRightInd w:val="0"/>
        <w:spacing w:line="360" w:lineRule="auto"/>
        <w:ind w:firstLine="482" w:firstLineChars="200"/>
        <w:textAlignment w:val="baseline"/>
        <w:outlineLvl w:val="0"/>
        <w:rPr>
          <w:rFonts w:hint="eastAsia" w:ascii="宋体" w:hAnsi="宋体" w:cs="楷体_GB2312"/>
          <w:b/>
          <w:bCs/>
          <w:sz w:val="24"/>
        </w:rPr>
      </w:pPr>
      <w:bookmarkStart w:id="29" w:name="_Toc11857"/>
      <w:bookmarkStart w:id="30" w:name="_Toc27553"/>
      <w:bookmarkStart w:id="31" w:name="_Toc13035"/>
      <w:r>
        <w:rPr>
          <w:rFonts w:hint="eastAsia" w:ascii="宋体" w:hAnsi="宋体" w:cs="楷体_GB2312"/>
          <w:b/>
          <w:bCs/>
          <w:sz w:val="24"/>
        </w:rPr>
        <w:t>（二）认证要求</w:t>
      </w:r>
      <w:bookmarkEnd w:id="29"/>
      <w:bookmarkEnd w:id="30"/>
      <w:bookmarkEnd w:id="31"/>
    </w:p>
    <w:p w14:paraId="318BA4F5">
      <w:pPr>
        <w:adjustRightInd w:val="0"/>
        <w:spacing w:line="360" w:lineRule="auto"/>
        <w:ind w:firstLine="480" w:firstLineChars="200"/>
        <w:textAlignment w:val="baseline"/>
        <w:outlineLvl w:val="0"/>
        <w:rPr>
          <w:rFonts w:hint="eastAsia" w:ascii="宋体" w:hAnsi="宋体" w:cs="仿宋_GB2312"/>
          <w:sz w:val="24"/>
        </w:rPr>
      </w:pPr>
      <w:bookmarkStart w:id="32" w:name="_Toc13284"/>
      <w:bookmarkStart w:id="33" w:name="_Toc23648"/>
      <w:bookmarkStart w:id="34" w:name="_Toc31662"/>
      <w:r>
        <w:rPr>
          <w:rFonts w:hint="eastAsia" w:ascii="宋体" w:hAnsi="宋体" w:cs="仿宋_GB2312"/>
          <w:sz w:val="24"/>
        </w:rPr>
        <w:t>1.有效期内的CMMI 4级或以上证书；</w:t>
      </w:r>
      <w:bookmarkEnd w:id="32"/>
      <w:bookmarkEnd w:id="33"/>
      <w:bookmarkEnd w:id="34"/>
    </w:p>
    <w:p w14:paraId="554424CE">
      <w:pPr>
        <w:adjustRightInd w:val="0"/>
        <w:spacing w:line="360" w:lineRule="auto"/>
        <w:ind w:firstLine="480" w:firstLineChars="200"/>
        <w:textAlignment w:val="baseline"/>
        <w:outlineLvl w:val="0"/>
        <w:rPr>
          <w:rFonts w:hint="eastAsia" w:ascii="宋体" w:hAnsi="宋体" w:cs="仿宋_GB2312"/>
          <w:sz w:val="24"/>
        </w:rPr>
      </w:pPr>
      <w:bookmarkStart w:id="35" w:name="_Toc28990"/>
      <w:bookmarkStart w:id="36" w:name="_Toc32581"/>
      <w:bookmarkStart w:id="37" w:name="_Toc22152"/>
      <w:r>
        <w:rPr>
          <w:rFonts w:hint="eastAsia" w:ascii="宋体" w:hAnsi="宋体" w:cs="仿宋_GB2312"/>
          <w:sz w:val="24"/>
        </w:rPr>
        <w:t>2.有效期内的ISO9001质量管理体系认证证书；</w:t>
      </w:r>
      <w:bookmarkEnd w:id="35"/>
      <w:bookmarkEnd w:id="36"/>
      <w:bookmarkEnd w:id="37"/>
    </w:p>
    <w:p w14:paraId="3244D435">
      <w:pPr>
        <w:adjustRightInd w:val="0"/>
        <w:spacing w:line="360" w:lineRule="auto"/>
        <w:ind w:firstLine="480" w:firstLineChars="200"/>
        <w:textAlignment w:val="baseline"/>
        <w:outlineLvl w:val="0"/>
        <w:rPr>
          <w:rFonts w:hint="eastAsia" w:ascii="宋体" w:hAnsi="宋体" w:cs="仿宋_GB2312"/>
          <w:sz w:val="24"/>
        </w:rPr>
      </w:pPr>
      <w:bookmarkStart w:id="38" w:name="_Toc16038"/>
      <w:bookmarkStart w:id="39" w:name="_Toc20811"/>
      <w:bookmarkStart w:id="40" w:name="_Toc17881"/>
      <w:r>
        <w:rPr>
          <w:rFonts w:hint="eastAsia" w:ascii="宋体" w:hAnsi="宋体" w:cs="仿宋_GB2312"/>
          <w:sz w:val="24"/>
        </w:rPr>
        <w:t>3.有效期内的ISO27001信息安全管理体系认证证书</w:t>
      </w:r>
      <w:bookmarkEnd w:id="38"/>
      <w:bookmarkEnd w:id="39"/>
      <w:bookmarkEnd w:id="40"/>
      <w:r>
        <w:rPr>
          <w:rFonts w:hint="eastAsia" w:ascii="宋体" w:hAnsi="宋体" w:cs="仿宋_GB2312"/>
          <w:sz w:val="24"/>
        </w:rPr>
        <w:t>。</w:t>
      </w:r>
    </w:p>
    <w:bookmarkEnd w:id="20"/>
    <w:bookmarkEnd w:id="21"/>
    <w:p w14:paraId="6757D0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E60D9477"/>
    <w:multiLevelType w:val="singleLevel"/>
    <w:tmpl w:val="E60D9477"/>
    <w:lvl w:ilvl="0" w:tentative="0">
      <w:start w:val="2"/>
      <w:numFmt w:val="chineseCounting"/>
      <w:suff w:val="nothing"/>
      <w:lvlText w:val="%1、"/>
      <w:lvlJc w:val="left"/>
      <w:rPr>
        <w:rFonts w:hint="eastAsia"/>
      </w:rPr>
    </w:lvl>
  </w:abstractNum>
  <w:abstractNum w:abstractNumId="3">
    <w:nsid w:val="FB123A50"/>
    <w:multiLevelType w:val="singleLevel"/>
    <w:tmpl w:val="FB123A50"/>
    <w:lvl w:ilvl="0" w:tentative="0">
      <w:start w:val="9"/>
      <w:numFmt w:val="chineseCounting"/>
      <w:suff w:val="nothing"/>
      <w:lvlText w:val="%1、"/>
      <w:lvlJc w:val="left"/>
      <w:rPr>
        <w:rFonts w:hint="eastAsia"/>
      </w:rPr>
    </w:lvl>
  </w:abstractNum>
  <w:abstractNum w:abstractNumId="4">
    <w:nsid w:val="304EF52B"/>
    <w:multiLevelType w:val="singleLevel"/>
    <w:tmpl w:val="304EF52B"/>
    <w:lvl w:ilvl="0" w:tentative="0">
      <w:start w:val="1"/>
      <w:numFmt w:val="decimal"/>
      <w:lvlText w:val="%1"/>
      <w:lvlJc w:val="left"/>
      <w:pPr>
        <w:tabs>
          <w:tab w:val="left" w:pos="420"/>
        </w:tabs>
        <w:ind w:left="425" w:hanging="425"/>
      </w:pPr>
      <w:rPr>
        <w:rFonts w:hint="default"/>
      </w:rPr>
    </w:lvl>
  </w:abstractNum>
  <w:abstractNum w:abstractNumId="5">
    <w:nsid w:val="4E0E6040"/>
    <w:multiLevelType w:val="singleLevel"/>
    <w:tmpl w:val="4E0E6040"/>
    <w:lvl w:ilvl="0" w:tentative="0">
      <w:start w:val="1"/>
      <w:numFmt w:val="decimal"/>
      <w:suff w:val="nothing"/>
      <w:lvlText w:val="%1"/>
      <w:lvlJc w:val="left"/>
      <w:pPr>
        <w:tabs>
          <w:tab w:val="left" w:pos="0"/>
        </w:tabs>
        <w:ind w:left="454" w:hanging="454"/>
      </w:pPr>
      <w:rPr>
        <w:rFonts w:hint="default" w:ascii="Times New Roman" w:hAnsi="Times New Roman" w:eastAsia="宋体" w:cs="Times New Roman"/>
      </w:rPr>
    </w:lvl>
  </w:abstractNum>
  <w:abstractNum w:abstractNumId="6">
    <w:nsid w:val="4F3B93A5"/>
    <w:multiLevelType w:val="singleLevel"/>
    <w:tmpl w:val="4F3B93A5"/>
    <w:lvl w:ilvl="0" w:tentative="0">
      <w:start w:val="3"/>
      <w:numFmt w:val="chineseCounting"/>
      <w:suff w:val="nothing"/>
      <w:lvlText w:val="%1、"/>
      <w:lvlJc w:val="left"/>
      <w:rPr>
        <w:rFonts w:hint="eastAsia"/>
      </w:rPr>
    </w:lvl>
  </w:abstractNum>
  <w:abstractNum w:abstractNumId="7">
    <w:nsid w:val="58599E33"/>
    <w:multiLevelType w:val="singleLevel"/>
    <w:tmpl w:val="58599E33"/>
    <w:lvl w:ilvl="0" w:tentative="0">
      <w:start w:val="3"/>
      <w:numFmt w:val="decimal"/>
      <w:suff w:val="nothing"/>
      <w:lvlText w:val="（%1）"/>
      <w:lvlJc w:val="left"/>
    </w:lvl>
  </w:abstractNum>
  <w:abstractNum w:abstractNumId="8">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C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24"/>
    </w:rPr>
  </w:style>
  <w:style w:type="paragraph" w:styleId="3">
    <w:name w:val="Body Text Indent"/>
    <w:basedOn w:val="1"/>
    <w:qFormat/>
    <w:uiPriority w:val="0"/>
    <w:pPr>
      <w:ind w:left="1260"/>
    </w:pPr>
    <w:rPr>
      <w:rFonts w:ascii="Calibri" w:hAnsi="Calibri"/>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2026-03-13T08:46:40Z</dcterms:created>
  <dc:creator>31369</dc:creator>
  <cp:lastModifiedBy>罗雨锋</cp:lastModifiedBy>
  <dcterms:modified xsi:type="dcterms:W3CDTF">2026-03-13T08:47:00Z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eyJoZGlkIjoiYWYwMTgyYzE0OGNjNWE4YTcwMDNkOTgzOTdjNTU1OGYiLCJ1c2VySWQiOiIyNDQ4MTA2OTcifQ==</vt:lpwstr>
  </property>
  <property fmtid="{D5CDD505-2E9C-101B-9397-08002B2CF9AE}" pid="4" name="ICV">
    <vt:lpwstr>0539E0D862A84035B42C1A3A244CCB16_12</vt:lpwstr>
  </property>
</Properties>
</file>