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hd w:val="clear" w:color="auto" w:fill="FFFFFF"/>
        <w:spacing w:line="360" w:lineRule="auto"/>
        <w:jc w:val="left"/>
        <w:rPr>
          <w:rFonts w:hint="eastAsia" w:ascii="仿宋" w:hAnsi="仿宋" w:eastAsia="仿宋" w:cs="仿宋"/>
          <w:kern w:val="0"/>
          <w:sz w:val="28"/>
          <w:szCs w:val="28"/>
        </w:rPr>
      </w:pPr>
      <w:bookmarkStart w:id="53" w:name="_GoBack"/>
      <w:bookmarkEnd w:id="53"/>
      <w:r>
        <w:rPr>
          <w:rFonts w:hint="eastAsia" w:ascii="仿宋" w:hAnsi="仿宋" w:eastAsia="仿宋" w:cs="仿宋"/>
          <w:kern w:val="0"/>
          <w:sz w:val="28"/>
          <w:szCs w:val="28"/>
        </w:rPr>
        <w:t>附件-报名资料模板</w:t>
      </w:r>
    </w:p>
    <w:p>
      <w:pPr>
        <w:rPr>
          <w:rFonts w:hint="eastAsia" w:ascii="仿宋" w:hAnsi="仿宋" w:eastAsia="仿宋" w:cs="仿宋"/>
          <w:b/>
          <w:sz w:val="32"/>
        </w:rPr>
      </w:pPr>
      <w:r>
        <w:rPr>
          <w:rFonts w:hint="eastAsia" w:ascii="仿宋" w:hAnsi="仿宋" w:eastAsia="仿宋" w:cs="仿宋"/>
          <w:b/>
          <w:sz w:val="32"/>
        </w:rPr>
        <w:t>法定代表人授权书（格式）</w:t>
      </w:r>
    </w:p>
    <w:p>
      <w:pPr>
        <w:spacing w:line="360" w:lineRule="auto"/>
        <w:ind w:firstLine="560" w:firstLineChars="200"/>
        <w:jc w:val="center"/>
        <w:rPr>
          <w:rFonts w:hint="eastAsia" w:ascii="仿宋" w:hAnsi="仿宋" w:eastAsia="仿宋" w:cs="仿宋"/>
          <w:bCs/>
          <w:spacing w:val="20"/>
          <w:sz w:val="24"/>
        </w:rPr>
      </w:pPr>
    </w:p>
    <w:p>
      <w:pPr>
        <w:spacing w:line="360" w:lineRule="auto"/>
        <w:ind w:firstLine="420" w:firstLineChars="200"/>
        <w:rPr>
          <w:rFonts w:hint="eastAsia" w:ascii="仿宋" w:hAnsi="仿宋" w:eastAsia="仿宋" w:cs="仿宋"/>
          <w:szCs w:val="21"/>
        </w:rPr>
      </w:pPr>
      <w:r>
        <w:rPr>
          <w:rFonts w:hint="eastAsia" w:ascii="仿宋" w:hAnsi="仿宋" w:eastAsia="仿宋" w:cs="仿宋"/>
          <w:szCs w:val="21"/>
        </w:rPr>
        <w:t>本授权书声明：注册于</w:t>
      </w:r>
      <w:r>
        <w:rPr>
          <w:rFonts w:hint="eastAsia" w:ascii="仿宋" w:hAnsi="仿宋" w:eastAsia="仿宋" w:cs="仿宋"/>
          <w:szCs w:val="21"/>
          <w:u w:val="single"/>
        </w:rPr>
        <w:t xml:space="preserve">（国家或地区的名称） </w:t>
      </w:r>
      <w:r>
        <w:rPr>
          <w:rFonts w:hint="eastAsia" w:ascii="仿宋" w:hAnsi="仿宋" w:eastAsia="仿宋" w:cs="仿宋"/>
          <w:szCs w:val="21"/>
        </w:rPr>
        <w:t>的</w:t>
      </w:r>
      <w:r>
        <w:rPr>
          <w:rFonts w:hint="eastAsia" w:ascii="仿宋" w:hAnsi="仿宋" w:eastAsia="仿宋" w:cs="仿宋"/>
          <w:szCs w:val="21"/>
          <w:u w:val="single"/>
        </w:rPr>
        <w:t>（公司名称）</w:t>
      </w:r>
      <w:r>
        <w:rPr>
          <w:rFonts w:hint="eastAsia" w:ascii="仿宋" w:hAnsi="仿宋" w:eastAsia="仿宋" w:cs="仿宋"/>
          <w:szCs w:val="21"/>
        </w:rPr>
        <w:t>的</w:t>
      </w:r>
      <w:r>
        <w:rPr>
          <w:rFonts w:hint="eastAsia" w:ascii="仿宋" w:hAnsi="仿宋" w:eastAsia="仿宋" w:cs="仿宋"/>
          <w:szCs w:val="21"/>
          <w:u w:val="single"/>
        </w:rPr>
        <w:t xml:space="preserve">（法定代表人姓名） </w:t>
      </w:r>
      <w:r>
        <w:rPr>
          <w:rFonts w:hint="eastAsia" w:ascii="仿宋" w:hAnsi="仿宋" w:eastAsia="仿宋" w:cs="仿宋"/>
          <w:szCs w:val="21"/>
        </w:rPr>
        <w:t xml:space="preserve">代表本公司授权 </w:t>
      </w:r>
      <w:r>
        <w:rPr>
          <w:rFonts w:hint="eastAsia" w:ascii="仿宋" w:hAnsi="仿宋" w:eastAsia="仿宋" w:cs="仿宋"/>
          <w:szCs w:val="21"/>
          <w:u w:val="single"/>
        </w:rPr>
        <w:t xml:space="preserve">   （单位名称）   </w:t>
      </w:r>
      <w:r>
        <w:rPr>
          <w:rFonts w:hint="eastAsia" w:ascii="仿宋" w:hAnsi="仿宋" w:eastAsia="仿宋" w:cs="仿宋"/>
          <w:szCs w:val="21"/>
        </w:rPr>
        <w:t>的</w:t>
      </w:r>
      <w:r>
        <w:rPr>
          <w:rFonts w:hint="eastAsia" w:ascii="仿宋" w:hAnsi="仿宋" w:eastAsia="仿宋" w:cs="仿宋"/>
          <w:szCs w:val="21"/>
          <w:u w:val="single"/>
        </w:rPr>
        <w:t>（授权代理人的姓名、职务） （身份证号码：               ）</w:t>
      </w:r>
      <w:r>
        <w:rPr>
          <w:rFonts w:hint="eastAsia" w:ascii="仿宋" w:hAnsi="仿宋" w:eastAsia="仿宋" w:cs="仿宋"/>
          <w:szCs w:val="21"/>
        </w:rPr>
        <w:t>为本公司的合法代理人，就</w:t>
      </w:r>
      <w:r>
        <w:rPr>
          <w:rFonts w:hint="eastAsia" w:ascii="仿宋" w:hAnsi="仿宋" w:eastAsia="仿宋" w:cs="仿宋"/>
          <w:szCs w:val="21"/>
          <w:u w:val="single"/>
        </w:rPr>
        <w:t xml:space="preserve"> （项目名称） </w:t>
      </w:r>
      <w:r>
        <w:rPr>
          <w:rFonts w:hint="eastAsia" w:ascii="仿宋" w:hAnsi="仿宋" w:eastAsia="仿宋" w:cs="仿宋"/>
          <w:szCs w:val="21"/>
        </w:rPr>
        <w:t>，以本公司名义处理与本项目报名相关的所有事务。</w:t>
      </w:r>
    </w:p>
    <w:p>
      <w:pPr>
        <w:spacing w:line="400" w:lineRule="exact"/>
        <w:rPr>
          <w:rFonts w:hint="eastAsia" w:ascii="仿宋" w:hAnsi="仿宋" w:eastAsia="仿宋" w:cs="仿宋"/>
          <w:szCs w:val="21"/>
        </w:rPr>
      </w:pPr>
    </w:p>
    <w:p>
      <w:pPr>
        <w:spacing w:line="400" w:lineRule="exact"/>
        <w:ind w:firstLine="425"/>
        <w:jc w:val="left"/>
        <w:rPr>
          <w:rFonts w:hint="eastAsia" w:ascii="仿宋" w:hAnsi="仿宋" w:eastAsia="仿宋" w:cs="仿宋"/>
          <w:szCs w:val="21"/>
        </w:rPr>
      </w:pPr>
      <w:r>
        <w:rPr>
          <w:rFonts w:hint="eastAsia" w:ascii="仿宋" w:hAnsi="仿宋" w:eastAsia="仿宋" w:cs="仿宋"/>
          <w:szCs w:val="21"/>
        </w:rPr>
        <w:t>本授权书于</w:t>
      </w:r>
      <w:r>
        <w:rPr>
          <w:rFonts w:hint="eastAsia" w:ascii="仿宋" w:hAnsi="仿宋" w:eastAsia="仿宋" w:cs="仿宋"/>
          <w:szCs w:val="21"/>
          <w:u w:val="single"/>
        </w:rPr>
        <w:t xml:space="preserve">            </w:t>
      </w:r>
      <w:r>
        <w:rPr>
          <w:rFonts w:hint="eastAsia" w:ascii="仿宋" w:hAnsi="仿宋" w:eastAsia="仿宋" w:cs="仿宋"/>
          <w:szCs w:val="21"/>
        </w:rPr>
        <w:t>年</w:t>
      </w:r>
      <w:r>
        <w:rPr>
          <w:rFonts w:hint="eastAsia" w:ascii="仿宋" w:hAnsi="仿宋" w:eastAsia="仿宋" w:cs="仿宋"/>
          <w:szCs w:val="21"/>
          <w:u w:val="single"/>
        </w:rPr>
        <w:t xml:space="preserve">       </w:t>
      </w:r>
      <w:r>
        <w:rPr>
          <w:rFonts w:hint="eastAsia" w:ascii="仿宋" w:hAnsi="仿宋" w:eastAsia="仿宋" w:cs="仿宋"/>
          <w:szCs w:val="21"/>
        </w:rPr>
        <w:t>月</w:t>
      </w:r>
      <w:r>
        <w:rPr>
          <w:rFonts w:hint="eastAsia" w:ascii="仿宋" w:hAnsi="仿宋" w:eastAsia="仿宋" w:cs="仿宋"/>
          <w:szCs w:val="21"/>
          <w:u w:val="single"/>
        </w:rPr>
        <w:t xml:space="preserve">       </w:t>
      </w:r>
      <w:r>
        <w:rPr>
          <w:rFonts w:hint="eastAsia" w:ascii="仿宋" w:hAnsi="仿宋" w:eastAsia="仿宋" w:cs="仿宋"/>
          <w:szCs w:val="21"/>
        </w:rPr>
        <w:t>日签字生效， 特此声明。</w:t>
      </w:r>
    </w:p>
    <w:p>
      <w:pPr>
        <w:spacing w:line="400" w:lineRule="exact"/>
        <w:rPr>
          <w:rFonts w:hint="eastAsia" w:ascii="仿宋" w:hAnsi="仿宋" w:eastAsia="仿宋" w:cs="仿宋"/>
          <w:szCs w:val="21"/>
        </w:rPr>
      </w:pPr>
    </w:p>
    <w:p>
      <w:pPr>
        <w:spacing w:line="400" w:lineRule="exact"/>
        <w:rPr>
          <w:rFonts w:hint="eastAsia" w:ascii="仿宋" w:hAnsi="仿宋" w:eastAsia="仿宋" w:cs="仿宋"/>
          <w:szCs w:val="21"/>
          <w:u w:val="single"/>
        </w:rPr>
      </w:pPr>
      <w:r>
        <w:rPr>
          <w:rFonts w:hint="eastAsia" w:ascii="仿宋" w:hAnsi="仿宋" w:eastAsia="仿宋" w:cs="仿宋"/>
          <w:szCs w:val="21"/>
        </w:rPr>
        <w:t xml:space="preserve">法定代表人签字或盖章：     </w:t>
      </w:r>
      <w:r>
        <w:rPr>
          <w:rFonts w:hint="eastAsia" w:ascii="仿宋" w:hAnsi="仿宋" w:eastAsia="仿宋" w:cs="仿宋"/>
          <w:szCs w:val="21"/>
          <w:u w:val="single"/>
        </w:rPr>
        <w:t xml:space="preserve">                     </w:t>
      </w:r>
    </w:p>
    <w:p>
      <w:pPr>
        <w:spacing w:line="400" w:lineRule="exact"/>
        <w:rPr>
          <w:rFonts w:hint="eastAsia" w:ascii="仿宋" w:hAnsi="仿宋" w:eastAsia="仿宋" w:cs="仿宋"/>
          <w:szCs w:val="21"/>
          <w:u w:val="single"/>
        </w:rPr>
      </w:pPr>
      <w:r>
        <w:rPr>
          <w:rFonts w:hint="eastAsia" w:ascii="仿宋" w:hAnsi="仿宋" w:eastAsia="仿宋" w:cs="仿宋"/>
          <w:szCs w:val="21"/>
        </w:rPr>
        <w:t xml:space="preserve">授权代理人签字或盖章：     </w:t>
      </w:r>
      <w:r>
        <w:rPr>
          <w:rFonts w:hint="eastAsia" w:ascii="仿宋" w:hAnsi="仿宋" w:eastAsia="仿宋" w:cs="仿宋"/>
          <w:szCs w:val="21"/>
          <w:u w:val="single"/>
        </w:rPr>
        <w:t xml:space="preserve">                     </w:t>
      </w:r>
    </w:p>
    <w:p>
      <w:pPr>
        <w:spacing w:line="400" w:lineRule="exact"/>
        <w:rPr>
          <w:rFonts w:hint="eastAsia" w:ascii="仿宋" w:hAnsi="仿宋" w:eastAsia="仿宋" w:cs="仿宋"/>
          <w:szCs w:val="21"/>
          <w:u w:val="single"/>
        </w:rPr>
      </w:pPr>
      <w:r>
        <w:rPr>
          <w:rFonts w:hint="eastAsia" w:ascii="仿宋" w:hAnsi="仿宋" w:eastAsia="仿宋" w:cs="仿宋"/>
          <w:szCs w:val="21"/>
        </w:rPr>
        <w:t xml:space="preserve">公司名称：                 </w:t>
      </w:r>
      <w:r>
        <w:rPr>
          <w:rFonts w:hint="eastAsia" w:ascii="仿宋" w:hAnsi="仿宋" w:eastAsia="仿宋" w:cs="仿宋"/>
          <w:szCs w:val="21"/>
          <w:u w:val="single"/>
        </w:rPr>
        <w:t xml:space="preserve">                     </w:t>
      </w:r>
    </w:p>
    <w:p>
      <w:pPr>
        <w:spacing w:line="400" w:lineRule="exact"/>
        <w:rPr>
          <w:rFonts w:hint="eastAsia" w:ascii="仿宋" w:hAnsi="仿宋" w:eastAsia="仿宋" w:cs="仿宋"/>
          <w:szCs w:val="21"/>
          <w:u w:val="single"/>
        </w:rPr>
      </w:pPr>
      <w:r>
        <w:rPr>
          <w:rFonts w:hint="eastAsia" w:ascii="仿宋" w:hAnsi="仿宋" w:eastAsia="仿宋" w:cs="仿宋"/>
          <w:szCs w:val="21"/>
        </w:rPr>
        <w:t xml:space="preserve">地址：                     </w:t>
      </w:r>
      <w:r>
        <w:rPr>
          <w:rFonts w:hint="eastAsia" w:ascii="仿宋" w:hAnsi="仿宋" w:eastAsia="仿宋" w:cs="仿宋"/>
          <w:szCs w:val="21"/>
          <w:u w:val="single"/>
        </w:rPr>
        <w:t xml:space="preserve">                     </w:t>
      </w:r>
    </w:p>
    <w:p>
      <w:pPr>
        <w:spacing w:line="400" w:lineRule="exact"/>
        <w:rPr>
          <w:rFonts w:hint="eastAsia" w:ascii="仿宋" w:hAnsi="仿宋" w:eastAsia="仿宋" w:cs="仿宋"/>
          <w:szCs w:val="21"/>
          <w:u w:val="single"/>
        </w:rPr>
      </w:pPr>
      <w:r>
        <w:rPr>
          <w:rFonts w:hint="eastAsia" w:ascii="仿宋" w:hAnsi="仿宋" w:eastAsia="仿宋" w:cs="仿宋"/>
          <w:szCs w:val="21"/>
        </w:rPr>
        <w:t xml:space="preserve">加盖公章：                 </w:t>
      </w:r>
      <w:r>
        <w:rPr>
          <w:rFonts w:hint="eastAsia" w:ascii="仿宋" w:hAnsi="仿宋" w:eastAsia="仿宋" w:cs="仿宋"/>
          <w:szCs w:val="21"/>
          <w:u w:val="single"/>
        </w:rPr>
        <w:t xml:space="preserve">                     </w:t>
      </w:r>
    </w:p>
    <w:p>
      <w:pPr>
        <w:spacing w:line="420" w:lineRule="exact"/>
        <w:ind w:firstLine="560" w:firstLineChars="200"/>
        <w:rPr>
          <w:rFonts w:hint="eastAsia" w:ascii="仿宋" w:hAnsi="仿宋" w:eastAsia="仿宋" w:cs="仿宋"/>
          <w:bCs/>
          <w:spacing w:val="20"/>
          <w:sz w:val="24"/>
        </w:rPr>
      </w:pPr>
    </w:p>
    <w:p>
      <w:pPr>
        <w:tabs>
          <w:tab w:val="left" w:pos="426"/>
        </w:tabs>
        <w:snapToGrid w:val="0"/>
        <w:spacing w:line="360" w:lineRule="auto"/>
        <w:rPr>
          <w:rFonts w:hint="eastAsia" w:ascii="仿宋" w:hAnsi="仿宋" w:eastAsia="仿宋" w:cs="仿宋"/>
          <w:szCs w:val="21"/>
        </w:rPr>
      </w:pPr>
      <w:r>
        <w:rPr>
          <w:rFonts w:hint="eastAsia" w:ascii="仿宋" w:hAnsi="仿宋" w:eastAsia="仿宋" w:cs="仿宋"/>
          <w:szCs w:val="21"/>
        </w:rPr>
        <mc:AlternateContent>
          <mc:Choice Requires="wps">
            <w:drawing>
              <wp:anchor distT="0" distB="0" distL="114300" distR="114300" simplePos="0" relativeHeight="251659264" behindDoc="0" locked="0" layoutInCell="1" allowOverlap="1">
                <wp:simplePos x="0" y="0"/>
                <wp:positionH relativeFrom="column">
                  <wp:posOffset>-4445</wp:posOffset>
                </wp:positionH>
                <wp:positionV relativeFrom="paragraph">
                  <wp:posOffset>231775</wp:posOffset>
                </wp:positionV>
                <wp:extent cx="2760980" cy="1685290"/>
                <wp:effectExtent l="8255" t="8255" r="19685" b="13335"/>
                <wp:wrapNone/>
                <wp:docPr id="1" name="矩形 2"/>
                <wp:cNvGraphicFramePr/>
                <a:graphic xmlns:a="http://schemas.openxmlformats.org/drawingml/2006/main">
                  <a:graphicData uri="http://schemas.microsoft.com/office/word/2010/wordprocessingShape">
                    <wps:wsp>
                      <wps:cNvSpPr/>
                      <wps:spPr>
                        <a:xfrm>
                          <a:off x="0" y="0"/>
                          <a:ext cx="2760980" cy="168529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txbxContent>
                      </wps:txbx>
                      <wps:bodyPr wrap="square" upright="1"/>
                    </wps:wsp>
                  </a:graphicData>
                </a:graphic>
              </wp:anchor>
            </w:drawing>
          </mc:Choice>
          <mc:Fallback>
            <w:pict>
              <v:rect id="矩形 2" o:spid="_x0000_s1026" o:spt="1" style="position:absolute;left:0pt;margin-left:-0.35pt;margin-top:18.25pt;height:132.7pt;width:217.4pt;z-index:251659264;mso-width-relative:page;mso-height-relative:page;" fillcolor="#FFFFFF" filled="t" stroked="t" coordsize="21600,21600" o:gfxdata="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yThN2AAAAAgBAAAPAAAAAAAAAAEAIAAA&#10;ACIAAABkcnMvZG93bnJldi54bWxQSwECFAAUAAAACACHTuJAZEDeLkUCAADABAAADgAAAAAAAAAB&#10;ACAAAAAnAQAAZHJzL2Uyb0RvYy54bWxQSwUGAAAAAAYABgBZAQAA3gUAAAAA&#10;">
                <v:fill type="gradient" on="t" color2="#FFFFFF" angle="90" focus="100%" focussize="0,0">
                  <o:fill type="gradientUnscaled" v:ext="backwardCompatible"/>
                </v:fill>
                <v:stroke weight="1.25pt" color="#000000" joinstyle="miter"/>
                <v:imagedata o:title=""/>
                <o:lock v:ext="edit" aspectratio="f"/>
                <v:textbox>
                  <w:txbxContent>
                    <w:p/>
                  </w:txbxContent>
                </v:textbox>
              </v:rect>
            </w:pict>
          </mc:Fallback>
        </mc:AlternateContent>
      </w:r>
      <w:r>
        <w:rPr>
          <w:rFonts w:hint="eastAsia" w:ascii="仿宋" w:hAnsi="仿宋" w:eastAsia="仿宋" w:cs="仿宋"/>
          <w:szCs w:val="21"/>
        </w:rPr>
        <w:t>法人身份证</w:t>
      </w:r>
      <w:r>
        <w:rPr>
          <w:rFonts w:hint="eastAsia" w:ascii="仿宋" w:hAnsi="仿宋" w:eastAsia="仿宋" w:cs="仿宋"/>
          <w:szCs w:val="21"/>
          <w:lang w:val="en-US" w:eastAsia="zh-CN"/>
        </w:rPr>
        <w:t>明</w:t>
      </w:r>
      <w:r>
        <w:rPr>
          <w:rFonts w:hint="eastAsia" w:ascii="仿宋" w:hAnsi="仿宋" w:eastAsia="仿宋" w:cs="仿宋"/>
          <w:szCs w:val="21"/>
        </w:rPr>
        <w:t>（正反面）：</w:t>
      </w: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r>
        <w:rPr>
          <w:rFonts w:hint="eastAsia" w:ascii="仿宋" w:hAnsi="仿宋" w:eastAsia="仿宋" w:cs="仿宋"/>
          <w:szCs w:val="21"/>
        </w:rPr>
        <mc:AlternateContent>
          <mc:Choice Requires="wps">
            <w:drawing>
              <wp:anchor distT="0" distB="0" distL="114300" distR="114300" simplePos="0" relativeHeight="251660288" behindDoc="0" locked="0" layoutInCell="1" allowOverlap="1">
                <wp:simplePos x="0" y="0"/>
                <wp:positionH relativeFrom="column">
                  <wp:posOffset>-4445</wp:posOffset>
                </wp:positionH>
                <wp:positionV relativeFrom="paragraph">
                  <wp:posOffset>347345</wp:posOffset>
                </wp:positionV>
                <wp:extent cx="2760980" cy="1685290"/>
                <wp:effectExtent l="8255" t="8255" r="19685" b="13335"/>
                <wp:wrapNone/>
                <wp:docPr id="2" name="矩形 3"/>
                <wp:cNvGraphicFramePr/>
                <a:graphic xmlns:a="http://schemas.openxmlformats.org/drawingml/2006/main">
                  <a:graphicData uri="http://schemas.microsoft.com/office/word/2010/wordprocessingShape">
                    <wps:wsp>
                      <wps:cNvSpPr/>
                      <wps:spPr>
                        <a:xfrm>
                          <a:off x="0" y="0"/>
                          <a:ext cx="2760980" cy="168529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txbxContent>
                      </wps:txbx>
                      <wps:bodyPr wrap="square" upright="1"/>
                    </wps:wsp>
                  </a:graphicData>
                </a:graphic>
              </wp:anchor>
            </w:drawing>
          </mc:Choice>
          <mc:Fallback>
            <w:pict>
              <v:rect id="矩形 3" o:spid="_x0000_s1026" o:spt="1" style="position:absolute;left:0pt;margin-left:-0.35pt;margin-top:27.35pt;height:132.7pt;width:217.4pt;z-index:251660288;mso-width-relative:page;mso-height-relative:page;" fillcolor="#FFFFFF" filled="t" stroked="t" coordsize="21600,21600" o:gfxdata="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SMo9gAAAAIAQAADwAAAAAAAAABACAA&#10;AAAiAAAAZHJzL2Rvd25yZXYueG1sUEsBAhQAFAAAAAgAh07iQEHmNFRGAgAAwAQAAA4AAAAAAAAA&#10;AQAgAAAAJwEAAGRycy9lMm9Eb2MueG1sUEsFBgAAAAAGAAYAWQEAAN8FAAAAAA==&#10;">
                <v:fill type="gradient" on="t" color2="#FFFFFF" angle="90" focus="100%" focussize="0,0">
                  <o:fill type="gradientUnscaled" v:ext="backwardCompatible"/>
                </v:fill>
                <v:stroke weight="1.25pt" color="#000000" joinstyle="miter"/>
                <v:imagedata o:title=""/>
                <o:lock v:ext="edit" aspectratio="f"/>
                <v:textbox>
                  <w:txbxContent>
                    <w:p/>
                  </w:txbxContent>
                </v:textbox>
              </v:rect>
            </w:pict>
          </mc:Fallback>
        </mc:AlternateContent>
      </w:r>
    </w:p>
    <w:p>
      <w:pPr>
        <w:jc w:val="cente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rPr>
          <w:rFonts w:hint="eastAsia" w:ascii="仿宋" w:hAnsi="仿宋" w:eastAsia="仿宋" w:cs="仿宋"/>
          <w:szCs w:val="21"/>
        </w:rPr>
      </w:pPr>
    </w:p>
    <w:p>
      <w:pPr>
        <w:tabs>
          <w:tab w:val="left" w:pos="426"/>
        </w:tabs>
        <w:snapToGrid w:val="0"/>
        <w:spacing w:line="360" w:lineRule="auto"/>
        <w:rPr>
          <w:rFonts w:hint="eastAsia" w:ascii="仿宋" w:hAnsi="仿宋" w:eastAsia="仿宋" w:cs="仿宋"/>
          <w:b/>
          <w:szCs w:val="21"/>
        </w:rPr>
      </w:pPr>
      <w:r>
        <w:rPr>
          <w:rFonts w:hint="eastAsia" w:ascii="仿宋" w:hAnsi="仿宋" w:eastAsia="仿宋" w:cs="仿宋"/>
          <w:szCs w:val="21"/>
        </w:rPr>
        <w:br w:type="page"/>
      </w:r>
      <w:r>
        <w:rPr>
          <w:rFonts w:hint="eastAsia" w:ascii="仿宋" w:hAnsi="仿宋" w:eastAsia="仿宋" w:cs="仿宋"/>
          <w:b/>
          <w:sz w:val="24"/>
          <w:szCs w:val="21"/>
        </w:rPr>
        <mc:AlternateContent>
          <mc:Choice Requires="wps">
            <w:drawing>
              <wp:anchor distT="0" distB="0" distL="114300" distR="114300" simplePos="0" relativeHeight="251661312" behindDoc="0" locked="0" layoutInCell="1" allowOverlap="1">
                <wp:simplePos x="0" y="0"/>
                <wp:positionH relativeFrom="column">
                  <wp:posOffset>-4445</wp:posOffset>
                </wp:positionH>
                <wp:positionV relativeFrom="paragraph">
                  <wp:posOffset>231775</wp:posOffset>
                </wp:positionV>
                <wp:extent cx="2760980" cy="1685290"/>
                <wp:effectExtent l="8255" t="8255" r="19685" b="13335"/>
                <wp:wrapNone/>
                <wp:docPr id="3" name="矩形 4"/>
                <wp:cNvGraphicFramePr/>
                <a:graphic xmlns:a="http://schemas.openxmlformats.org/drawingml/2006/main">
                  <a:graphicData uri="http://schemas.microsoft.com/office/word/2010/wordprocessingShape">
                    <wps:wsp>
                      <wps:cNvSpPr/>
                      <wps:spPr>
                        <a:xfrm>
                          <a:off x="0" y="0"/>
                          <a:ext cx="2760980" cy="168529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txbxContent>
                      </wps:txbx>
                      <wps:bodyPr wrap="square" upright="1"/>
                    </wps:wsp>
                  </a:graphicData>
                </a:graphic>
              </wp:anchor>
            </w:drawing>
          </mc:Choice>
          <mc:Fallback>
            <w:pict>
              <v:rect id="矩形 4" o:spid="_x0000_s1026" o:spt="1" style="position:absolute;left:0pt;margin-left:-0.35pt;margin-top:18.25pt;height:132.7pt;width:217.4pt;z-index:251661312;mso-width-relative:page;mso-height-relative:page;" fillcolor="#FFFFFF" filled="t" stroked="t" coordsize="21600,21600" o:gfxdata="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8k4TdgAAAAIAQAADwAAAAAAAAABACAA&#10;AAAiAAAAZHJzL2Rvd25yZXYueG1sUEsBAhQAFAAAAAgAh07iQF1NXZRGAgAAwAQAAA4AAAAAAAAA&#10;AQAgAAAAJwEAAGRycy9lMm9Eb2MueG1sUEsFBgAAAAAGAAYAWQEAAN8FAAAAAA==&#10;">
                <v:fill type="gradient" on="t" color2="#FFFFFF" angle="90" focus="100%" focussize="0,0">
                  <o:fill type="gradientUnscaled" v:ext="backwardCompatible"/>
                </v:fill>
                <v:stroke weight="1.25pt" color="#000000" joinstyle="miter"/>
                <v:imagedata o:title=""/>
                <o:lock v:ext="edit" aspectratio="f"/>
                <v:textbox>
                  <w:txbxContent>
                    <w:p/>
                  </w:txbxContent>
                </v:textbox>
              </v:rect>
            </w:pict>
          </mc:Fallback>
        </mc:AlternateContent>
      </w:r>
      <w:r>
        <w:rPr>
          <w:rFonts w:hint="eastAsia" w:ascii="仿宋" w:hAnsi="仿宋" w:eastAsia="仿宋" w:cs="仿宋"/>
          <w:b/>
          <w:sz w:val="24"/>
          <w:szCs w:val="21"/>
        </w:rPr>
        <w:t>被授权人身份证</w:t>
      </w:r>
      <w:r>
        <w:rPr>
          <w:rFonts w:hint="eastAsia" w:ascii="仿宋" w:hAnsi="仿宋" w:eastAsia="仿宋" w:cs="仿宋"/>
          <w:b/>
          <w:sz w:val="24"/>
          <w:szCs w:val="21"/>
          <w:lang w:val="en-US" w:eastAsia="zh-CN"/>
        </w:rPr>
        <w:t>明</w:t>
      </w:r>
      <w:r>
        <w:rPr>
          <w:rFonts w:hint="eastAsia" w:ascii="仿宋" w:hAnsi="仿宋" w:eastAsia="仿宋" w:cs="仿宋"/>
          <w:b/>
          <w:sz w:val="24"/>
          <w:szCs w:val="21"/>
        </w:rPr>
        <w:t>（正反面）加盖公章：</w:t>
      </w: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p>
    <w:p>
      <w:pPr>
        <w:tabs>
          <w:tab w:val="left" w:pos="426"/>
        </w:tabs>
        <w:snapToGrid w:val="0"/>
        <w:spacing w:line="360" w:lineRule="auto"/>
        <w:rPr>
          <w:rFonts w:hint="eastAsia" w:ascii="仿宋" w:hAnsi="仿宋" w:eastAsia="仿宋" w:cs="仿宋"/>
          <w:szCs w:val="21"/>
        </w:rPr>
      </w:pPr>
      <w:r>
        <w:rPr>
          <w:rFonts w:hint="eastAsia" w:ascii="仿宋" w:hAnsi="仿宋" w:eastAsia="仿宋" w:cs="仿宋"/>
          <w:szCs w:val="21"/>
        </w:rPr>
        <mc:AlternateContent>
          <mc:Choice Requires="wps">
            <w:drawing>
              <wp:anchor distT="0" distB="0" distL="114300" distR="114300" simplePos="0" relativeHeight="251662336" behindDoc="0" locked="0" layoutInCell="1" allowOverlap="1">
                <wp:simplePos x="0" y="0"/>
                <wp:positionH relativeFrom="column">
                  <wp:posOffset>-4445</wp:posOffset>
                </wp:positionH>
                <wp:positionV relativeFrom="paragraph">
                  <wp:posOffset>347345</wp:posOffset>
                </wp:positionV>
                <wp:extent cx="2760980" cy="1685290"/>
                <wp:effectExtent l="8255" t="8255" r="19685" b="13335"/>
                <wp:wrapNone/>
                <wp:docPr id="4" name="矩形 5"/>
                <wp:cNvGraphicFramePr/>
                <a:graphic xmlns:a="http://schemas.openxmlformats.org/drawingml/2006/main">
                  <a:graphicData uri="http://schemas.microsoft.com/office/word/2010/wordprocessingShape">
                    <wps:wsp>
                      <wps:cNvSpPr/>
                      <wps:spPr>
                        <a:xfrm>
                          <a:off x="0" y="0"/>
                          <a:ext cx="2760980" cy="168529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txbxContent>
                      </wps:txbx>
                      <wps:bodyPr wrap="square" upright="1"/>
                    </wps:wsp>
                  </a:graphicData>
                </a:graphic>
              </wp:anchor>
            </w:drawing>
          </mc:Choice>
          <mc:Fallback>
            <w:pict>
              <v:rect id="矩形 5" o:spid="_x0000_s1026" o:spt="1" style="position:absolute;left:0pt;margin-left:-0.35pt;margin-top:27.35pt;height:132.7pt;width:217.4pt;z-index:251662336;mso-width-relative:page;mso-height-relative:page;" fillcolor="#FFFFFF" filled="t" stroked="t" coordsize="21600,21600" o:gfxdata="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SMo9gAAAAIAQAADwAAAAAAAAABACAA&#10;AAAiAAAAZHJzL2Rvd25yZXYueG1sUEsBAhQAFAAAAAgAh07iQKsEcdFGAgAAwAQAAA4AAAAAAAAA&#10;AQAgAAAAJwEAAGRycy9lMm9Eb2MueG1sUEsFBgAAAAAGAAYAWQEAAN8FAAAAAA==&#10;">
                <v:fill type="gradient" on="t" color2="#FFFFFF" angle="90" focus="100%" focussize="0,0">
                  <o:fill type="gradientUnscaled" v:ext="backwardCompatible"/>
                </v:fill>
                <v:stroke weight="1.25pt" color="#000000" joinstyle="miter"/>
                <v:imagedata o:title=""/>
                <o:lock v:ext="edit" aspectratio="f"/>
                <v:textbox>
                  <w:txbxContent>
                    <w:p/>
                  </w:txbxContent>
                </v:textbox>
              </v:rect>
            </w:pict>
          </mc:Fallback>
        </mc:AlternateContent>
      </w:r>
    </w:p>
    <w:p>
      <w:pPr>
        <w:rPr>
          <w:rFonts w:hint="eastAsia" w:ascii="仿宋" w:hAnsi="仿宋" w:eastAsia="仿宋" w:cs="仿宋"/>
          <w:b/>
          <w:sz w:val="32"/>
        </w:rPr>
        <w:sectPr>
          <w:headerReference r:id="rId3" w:type="default"/>
          <w:footerReference r:id="rId4" w:type="default"/>
          <w:pgSz w:w="11906" w:h="16838"/>
          <w:pgMar w:top="1247" w:right="1247" w:bottom="1247" w:left="1247" w:header="851" w:footer="992" w:gutter="0"/>
          <w:pgNumType w:start="1"/>
          <w:cols w:space="720" w:num="1"/>
          <w:rtlGutter w:val="0"/>
          <w:docGrid w:type="lines" w:linePitch="312" w:charSpace="0"/>
        </w:sectPr>
      </w:pPr>
      <w:r>
        <w:rPr>
          <w:rFonts w:hint="eastAsia" w:ascii="仿宋" w:hAnsi="仿宋" w:eastAsia="仿宋" w:cs="仿宋"/>
          <w:szCs w:val="21"/>
        </w:rPr>
        <w:br w:type="page"/>
      </w:r>
      <w:r>
        <w:rPr>
          <w:rFonts w:hint="eastAsia" w:ascii="仿宋" w:hAnsi="仿宋" w:eastAsia="仿宋" w:cs="仿宋"/>
          <w:b/>
          <w:sz w:val="32"/>
        </w:rPr>
        <w:t>企业营业执照副本复印件加盖公章</w:t>
      </w:r>
    </w:p>
    <w:p>
      <w:pPr>
        <w:rPr>
          <w:rFonts w:hint="eastAsia" w:ascii="仿宋" w:hAnsi="仿宋" w:eastAsia="仿宋" w:cs="仿宋"/>
          <w:b/>
          <w:sz w:val="32"/>
        </w:rPr>
      </w:pPr>
      <w:r>
        <w:rPr>
          <w:rFonts w:hint="eastAsia" w:ascii="仿宋" w:hAnsi="仿宋" w:eastAsia="仿宋" w:cs="仿宋"/>
          <w:b/>
          <w:sz w:val="32"/>
        </w:rPr>
        <w:t>保密承诺书加盖公章</w:t>
      </w:r>
    </w:p>
    <w:p>
      <w:pPr>
        <w:snapToGrid w:val="0"/>
        <w:spacing w:line="360" w:lineRule="auto"/>
        <w:rPr>
          <w:rFonts w:hint="eastAsia" w:ascii="仿宋" w:hAnsi="仿宋" w:eastAsia="仿宋" w:cs="仿宋"/>
          <w:sz w:val="24"/>
        </w:rPr>
      </w:pPr>
    </w:p>
    <w:p>
      <w:pPr>
        <w:snapToGrid w:val="0"/>
        <w:spacing w:line="360" w:lineRule="auto"/>
        <w:rPr>
          <w:rFonts w:hint="eastAsia" w:ascii="仿宋" w:hAnsi="仿宋" w:eastAsia="仿宋" w:cs="仿宋"/>
          <w:sz w:val="24"/>
        </w:rPr>
      </w:pPr>
      <w:r>
        <w:rPr>
          <w:rFonts w:hint="eastAsia" w:ascii="仿宋" w:hAnsi="仿宋" w:eastAsia="仿宋" w:cs="仿宋"/>
          <w:sz w:val="24"/>
        </w:rPr>
        <w:t>致：</w:t>
      </w:r>
      <w:r>
        <w:rPr>
          <w:rFonts w:hint="eastAsia" w:ascii="仿宋" w:hAnsi="仿宋" w:eastAsia="仿宋" w:cs="仿宋"/>
          <w:sz w:val="24"/>
          <w:u w:val="single"/>
        </w:rPr>
        <w:t xml:space="preserve">                         （采购人）</w:t>
      </w:r>
    </w:p>
    <w:p>
      <w:pPr>
        <w:snapToGrid w:val="0"/>
        <w:spacing w:line="360" w:lineRule="auto"/>
        <w:ind w:firstLine="420"/>
        <w:rPr>
          <w:rFonts w:hint="eastAsia" w:ascii="仿宋" w:hAnsi="仿宋" w:eastAsia="仿宋" w:cs="仿宋"/>
          <w:sz w:val="24"/>
        </w:rPr>
      </w:pPr>
      <w:r>
        <w:rPr>
          <w:rFonts w:hint="eastAsia" w:ascii="仿宋" w:hAnsi="仿宋" w:eastAsia="仿宋" w:cs="仿宋"/>
          <w:sz w:val="24"/>
        </w:rPr>
        <w:t xml:space="preserve">鉴于 </w:t>
      </w:r>
      <w:r>
        <w:rPr>
          <w:rFonts w:hint="eastAsia" w:ascii="仿宋" w:hAnsi="仿宋" w:eastAsia="仿宋" w:cs="仿宋"/>
          <w:sz w:val="24"/>
          <w:u w:val="single"/>
        </w:rPr>
        <w:t xml:space="preserve">                              （项目名称）</w:t>
      </w:r>
      <w:r>
        <w:rPr>
          <w:rFonts w:hint="eastAsia" w:ascii="仿宋" w:hAnsi="仿宋" w:eastAsia="仿宋" w:cs="仿宋"/>
          <w:sz w:val="24"/>
        </w:rPr>
        <w:t>的特点，我方特做如下保密承诺：</w:t>
      </w:r>
    </w:p>
    <w:p>
      <w:pPr>
        <w:snapToGrid w:val="0"/>
        <w:spacing w:line="360" w:lineRule="auto"/>
        <w:ind w:firstLine="420"/>
        <w:rPr>
          <w:rFonts w:hint="eastAsia" w:ascii="仿宋" w:hAnsi="仿宋" w:eastAsia="仿宋" w:cs="仿宋"/>
          <w:sz w:val="24"/>
        </w:rPr>
      </w:pPr>
      <w:r>
        <w:rPr>
          <w:rFonts w:hint="eastAsia" w:ascii="仿宋" w:hAnsi="仿宋" w:eastAsia="仿宋" w:cs="仿宋"/>
          <w:sz w:val="24"/>
        </w:rPr>
        <w:t>不论是否参与本项目、响应成功与否，对因上述项目我方所获取的与该项目有关的相关资料、信息及其他有关文件严格进行保密，并保证不以任何形式（复印或扫描等）进行复制；同时对参与本项目的所有有关人员在使用上述信息、资料文件时进行登记备案；未经本项目业主单位同意，保证不将与本项目有关的任何资料发表、公布或对外泄露。</w:t>
      </w:r>
    </w:p>
    <w:p>
      <w:pPr>
        <w:snapToGrid w:val="0"/>
        <w:spacing w:line="360" w:lineRule="auto"/>
        <w:ind w:firstLine="420"/>
        <w:rPr>
          <w:rFonts w:hint="eastAsia" w:ascii="仿宋" w:hAnsi="仿宋" w:eastAsia="仿宋" w:cs="仿宋"/>
          <w:sz w:val="24"/>
        </w:rPr>
      </w:pPr>
      <w:r>
        <w:rPr>
          <w:rFonts w:hint="eastAsia" w:ascii="仿宋" w:hAnsi="仿宋" w:eastAsia="仿宋" w:cs="仿宋"/>
          <w:sz w:val="24"/>
        </w:rPr>
        <w:t>一旦发现或有举报我方人员出现泄密或其他违约行为，经证实后我方除对有关责任人员及时予以内部处分外，完全愿意接受本项目业主单位的处理意见并负责承担由此而产生的一切后果与法律责任。</w:t>
      </w:r>
    </w:p>
    <w:p>
      <w:pPr>
        <w:snapToGrid w:val="0"/>
        <w:spacing w:line="360" w:lineRule="auto"/>
        <w:ind w:firstLine="420"/>
        <w:rPr>
          <w:rFonts w:hint="eastAsia" w:ascii="仿宋" w:hAnsi="仿宋" w:eastAsia="仿宋" w:cs="仿宋"/>
          <w:kern w:val="24"/>
          <w:sz w:val="24"/>
        </w:rPr>
      </w:pPr>
    </w:p>
    <w:p>
      <w:pPr>
        <w:snapToGrid w:val="0"/>
        <w:spacing w:line="360" w:lineRule="auto"/>
        <w:ind w:firstLine="420"/>
        <w:rPr>
          <w:rFonts w:hint="eastAsia" w:ascii="仿宋" w:hAnsi="仿宋" w:eastAsia="仿宋" w:cs="仿宋"/>
          <w:kern w:val="24"/>
          <w:sz w:val="24"/>
        </w:rPr>
      </w:pPr>
      <w:r>
        <w:rPr>
          <w:rFonts w:hint="eastAsia" w:ascii="仿宋" w:hAnsi="仿宋" w:eastAsia="仿宋" w:cs="仿宋"/>
          <w:kern w:val="24"/>
          <w:sz w:val="24"/>
        </w:rPr>
        <w:t xml:space="preserve">   特此承诺。</w:t>
      </w:r>
    </w:p>
    <w:p>
      <w:pPr>
        <w:snapToGrid w:val="0"/>
        <w:spacing w:line="360" w:lineRule="auto"/>
        <w:ind w:firstLine="420"/>
        <w:rPr>
          <w:rFonts w:hint="eastAsia" w:ascii="仿宋" w:hAnsi="仿宋" w:eastAsia="仿宋" w:cs="仿宋"/>
          <w:kern w:val="24"/>
          <w:sz w:val="24"/>
        </w:rPr>
      </w:pPr>
    </w:p>
    <w:p>
      <w:pPr>
        <w:spacing w:line="360" w:lineRule="auto"/>
        <w:rPr>
          <w:rFonts w:hint="eastAsia" w:ascii="仿宋" w:hAnsi="仿宋" w:eastAsia="仿宋" w:cs="仿宋"/>
          <w:sz w:val="24"/>
          <w:u w:val="single"/>
        </w:rPr>
      </w:pPr>
      <w:r>
        <w:rPr>
          <w:rFonts w:hint="eastAsia" w:ascii="仿宋" w:hAnsi="仿宋" w:eastAsia="仿宋" w:cs="仿宋"/>
          <w:sz w:val="24"/>
        </w:rPr>
        <w:t>供应商名称：</w:t>
      </w:r>
      <w:r>
        <w:rPr>
          <w:rFonts w:hint="eastAsia" w:ascii="仿宋" w:hAnsi="仿宋" w:eastAsia="仿宋" w:cs="仿宋"/>
          <w:sz w:val="24"/>
          <w:u w:val="single"/>
        </w:rPr>
        <w:t xml:space="preserve">        公章         </w:t>
      </w:r>
    </w:p>
    <w:p>
      <w:pPr>
        <w:spacing w:line="360" w:lineRule="auto"/>
        <w:rPr>
          <w:rFonts w:hint="eastAsia" w:ascii="仿宋" w:hAnsi="仿宋" w:eastAsia="仿宋" w:cs="仿宋"/>
          <w:sz w:val="24"/>
          <w:u w:val="single"/>
        </w:rPr>
      </w:pPr>
      <w:r>
        <w:rPr>
          <w:rFonts w:hint="eastAsia" w:ascii="仿宋" w:hAnsi="仿宋" w:eastAsia="仿宋" w:cs="仿宋"/>
          <w:sz w:val="24"/>
        </w:rPr>
        <w:t>授权代表：</w:t>
      </w:r>
      <w:r>
        <w:rPr>
          <w:rFonts w:hint="eastAsia" w:ascii="仿宋" w:hAnsi="仿宋" w:eastAsia="仿宋" w:cs="仿宋"/>
          <w:sz w:val="24"/>
          <w:u w:val="single"/>
        </w:rPr>
        <w:t xml:space="preserve">     签字             </w:t>
      </w:r>
    </w:p>
    <w:p>
      <w:pPr>
        <w:spacing w:line="360" w:lineRule="auto"/>
        <w:rPr>
          <w:rFonts w:hint="eastAsia" w:ascii="仿宋" w:hAnsi="仿宋" w:eastAsia="仿宋" w:cs="仿宋"/>
          <w:sz w:val="24"/>
          <w:u w:val="single"/>
        </w:rPr>
      </w:pPr>
      <w:r>
        <w:rPr>
          <w:rFonts w:hint="eastAsia" w:ascii="仿宋" w:hAnsi="仿宋" w:eastAsia="仿宋" w:cs="仿宋"/>
          <w:sz w:val="24"/>
        </w:rPr>
        <w:t>日期 ：</w:t>
      </w:r>
      <w:r>
        <w:rPr>
          <w:rFonts w:hint="eastAsia" w:ascii="仿宋" w:hAnsi="仿宋" w:eastAsia="仿宋" w:cs="仿宋"/>
          <w:sz w:val="24"/>
          <w:u w:val="single"/>
        </w:rPr>
        <w:t xml:space="preserve">                         </w:t>
      </w:r>
    </w:p>
    <w:p>
      <w:pPr>
        <w:spacing w:line="360" w:lineRule="auto"/>
        <w:rPr>
          <w:rFonts w:hint="eastAsia" w:ascii="仿宋" w:hAnsi="仿宋" w:eastAsia="仿宋" w:cs="仿宋"/>
        </w:rPr>
        <w:sectPr>
          <w:pgSz w:w="11906" w:h="16838"/>
          <w:pgMar w:top="1247" w:right="1247" w:bottom="1247" w:left="1247" w:header="851" w:footer="992" w:gutter="0"/>
          <w:cols w:space="720" w:num="1"/>
          <w:rtlGutter w:val="0"/>
          <w:docGrid w:type="lines" w:linePitch="312" w:charSpace="0"/>
        </w:sectPr>
      </w:pPr>
    </w:p>
    <w:p>
      <w:pPr>
        <w:rPr>
          <w:rFonts w:hint="eastAsia" w:ascii="仿宋" w:hAnsi="仿宋" w:eastAsia="仿宋" w:cs="仿宋"/>
          <w:b/>
          <w:sz w:val="32"/>
        </w:rPr>
        <w:sectPr>
          <w:pgSz w:w="11906" w:h="16838"/>
          <w:pgMar w:top="1247" w:right="1247" w:bottom="1247" w:left="1247" w:header="851" w:footer="992" w:gutter="0"/>
          <w:cols w:space="720" w:num="1"/>
          <w:rtlGutter w:val="0"/>
          <w:docGrid w:type="lines" w:linePitch="312" w:charSpace="0"/>
        </w:sectPr>
      </w:pPr>
      <w:r>
        <w:rPr>
          <w:rFonts w:hint="eastAsia" w:ascii="仿宋" w:hAnsi="仿宋" w:eastAsia="仿宋" w:cs="仿宋"/>
          <w:b/>
          <w:sz w:val="32"/>
        </w:rPr>
        <w:t>公司介绍加盖公章</w:t>
      </w:r>
    </w:p>
    <w:p>
      <w:pPr>
        <w:pStyle w:val="12"/>
        <w:ind w:left="0" w:leftChars="0" w:firstLine="0" w:firstLineChars="0"/>
        <w:rPr>
          <w:rFonts w:hint="eastAsia" w:ascii="仿宋" w:hAnsi="仿宋" w:eastAsia="仿宋" w:cs="仿宋"/>
          <w:kern w:val="0"/>
          <w:sz w:val="28"/>
          <w:szCs w:val="28"/>
          <w:lang w:val="en-US" w:eastAsia="zh-CN"/>
        </w:rPr>
      </w:pPr>
      <w:r>
        <w:rPr>
          <w:rFonts w:hint="eastAsia" w:ascii="仿宋" w:hAnsi="仿宋" w:eastAsia="仿宋" w:cs="仿宋"/>
          <w:kern w:val="0"/>
          <w:sz w:val="28"/>
          <w:szCs w:val="28"/>
        </w:rPr>
        <w:t>附件-</w:t>
      </w:r>
      <w:r>
        <w:rPr>
          <w:rFonts w:hint="eastAsia" w:ascii="仿宋" w:hAnsi="仿宋" w:eastAsia="仿宋" w:cs="仿宋"/>
          <w:kern w:val="0"/>
          <w:sz w:val="28"/>
          <w:szCs w:val="28"/>
          <w:lang w:val="en-US" w:eastAsia="zh-CN"/>
        </w:rPr>
        <w:t>项目需求</w:t>
      </w: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rPr>
      </w:pPr>
      <w:bookmarkStart w:id="0" w:name="_Toc212523073"/>
      <w:bookmarkEnd w:id="0"/>
      <w:bookmarkStart w:id="1" w:name="_Toc209347468"/>
      <w:bookmarkEnd w:id="1"/>
      <w:bookmarkStart w:id="2" w:name="_Toc209347471"/>
      <w:bookmarkEnd w:id="2"/>
      <w:bookmarkStart w:id="3" w:name="_Toc212522928"/>
      <w:bookmarkEnd w:id="3"/>
      <w:bookmarkStart w:id="4" w:name="_Toc209347463"/>
      <w:bookmarkEnd w:id="4"/>
      <w:bookmarkStart w:id="5" w:name="_Toc212523076"/>
      <w:bookmarkEnd w:id="5"/>
      <w:bookmarkStart w:id="6" w:name="_Toc212522913"/>
      <w:bookmarkEnd w:id="6"/>
      <w:bookmarkStart w:id="7" w:name="_Toc209347470"/>
      <w:bookmarkEnd w:id="7"/>
      <w:bookmarkStart w:id="8" w:name="_Toc212523052"/>
      <w:bookmarkEnd w:id="8"/>
      <w:bookmarkStart w:id="9" w:name="_Toc212522516"/>
      <w:bookmarkEnd w:id="9"/>
      <w:bookmarkStart w:id="10" w:name="_Toc212522540"/>
      <w:bookmarkEnd w:id="10"/>
      <w:bookmarkStart w:id="11" w:name="_Toc209340886"/>
      <w:bookmarkEnd w:id="11"/>
      <w:bookmarkStart w:id="12" w:name="_Toc212522904"/>
      <w:bookmarkEnd w:id="12"/>
      <w:bookmarkStart w:id="13" w:name="_Toc212522922"/>
      <w:bookmarkEnd w:id="13"/>
      <w:bookmarkStart w:id="14" w:name="_Toc212523061"/>
      <w:bookmarkEnd w:id="14"/>
      <w:bookmarkStart w:id="15" w:name="_Toc212522919"/>
      <w:bookmarkEnd w:id="15"/>
      <w:bookmarkStart w:id="16" w:name="_Toc212523058"/>
      <w:bookmarkEnd w:id="16"/>
      <w:bookmarkStart w:id="17" w:name="_Toc212522534"/>
      <w:bookmarkEnd w:id="17"/>
      <w:bookmarkStart w:id="18" w:name="_Toc212523044"/>
      <w:bookmarkEnd w:id="18"/>
      <w:bookmarkStart w:id="19" w:name="_Toc212522525"/>
      <w:bookmarkEnd w:id="19"/>
      <w:bookmarkStart w:id="20" w:name="_Toc212523055"/>
      <w:bookmarkEnd w:id="20"/>
      <w:bookmarkStart w:id="21" w:name="_Toc212522543"/>
      <w:bookmarkEnd w:id="21"/>
      <w:bookmarkStart w:id="22" w:name="_Toc209340882"/>
      <w:bookmarkEnd w:id="22"/>
      <w:bookmarkStart w:id="23" w:name="_Toc212522513"/>
      <w:bookmarkEnd w:id="23"/>
      <w:bookmarkStart w:id="24" w:name="_Toc212523070"/>
      <w:bookmarkEnd w:id="24"/>
      <w:bookmarkStart w:id="25" w:name="_Toc212522931"/>
      <w:bookmarkEnd w:id="25"/>
      <w:bookmarkStart w:id="26" w:name="_Toc212523064"/>
      <w:bookmarkEnd w:id="26"/>
      <w:bookmarkStart w:id="27" w:name="_Toc212522537"/>
      <w:bookmarkEnd w:id="27"/>
      <w:bookmarkStart w:id="28" w:name="_Toc454288809"/>
      <w:bookmarkEnd w:id="28"/>
      <w:bookmarkStart w:id="29" w:name="_Toc212522519"/>
      <w:bookmarkEnd w:id="29"/>
      <w:bookmarkStart w:id="30" w:name="_Toc212522916"/>
      <w:bookmarkEnd w:id="30"/>
      <w:bookmarkStart w:id="31" w:name="_Toc209347469"/>
      <w:bookmarkEnd w:id="31"/>
      <w:bookmarkStart w:id="32" w:name="_Toc212523067"/>
      <w:bookmarkEnd w:id="32"/>
      <w:bookmarkStart w:id="33" w:name="_Toc212522531"/>
      <w:bookmarkEnd w:id="33"/>
      <w:bookmarkStart w:id="34" w:name="_Toc212522901"/>
      <w:bookmarkEnd w:id="34"/>
      <w:bookmarkStart w:id="35" w:name="_Toc212522528"/>
      <w:bookmarkEnd w:id="35"/>
      <w:bookmarkStart w:id="36" w:name="_Toc212522522"/>
      <w:bookmarkEnd w:id="36"/>
      <w:bookmarkStart w:id="37" w:name="_Toc209347459"/>
      <w:bookmarkEnd w:id="37"/>
      <w:bookmarkStart w:id="38" w:name="_Toc212523049"/>
      <w:bookmarkEnd w:id="38"/>
      <w:bookmarkStart w:id="39" w:name="_Toc212522910"/>
      <w:bookmarkEnd w:id="39"/>
      <w:bookmarkStart w:id="40" w:name="_Toc184538753"/>
      <w:bookmarkEnd w:id="40"/>
      <w:bookmarkStart w:id="41" w:name="_Toc212522925"/>
      <w:bookmarkEnd w:id="41"/>
      <w:bookmarkStart w:id="42" w:name="_Toc212523046"/>
      <w:bookmarkEnd w:id="42"/>
      <w:bookmarkStart w:id="43" w:name="_Toc212522907"/>
      <w:bookmarkEnd w:id="43"/>
      <w:bookmarkStart w:id="44" w:name="_Toc29772"/>
      <w:bookmarkStart w:id="45" w:name="_Toc178582706"/>
      <w:r>
        <w:rPr>
          <w:rFonts w:hint="eastAsia" w:ascii="仿宋" w:hAnsi="仿宋" w:eastAsia="仿宋" w:cs="仿宋"/>
          <w:b/>
          <w:bCs/>
          <w:sz w:val="24"/>
          <w:szCs w:val="24"/>
        </w:rPr>
        <w:t>一、项目介绍</w:t>
      </w:r>
      <w:bookmarkEnd w:id="44"/>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eastAsia" w:ascii="仿宋" w:hAnsi="仿宋" w:eastAsia="仿宋" w:cs="仿宋"/>
          <w:b/>
          <w:bCs/>
          <w:sz w:val="24"/>
          <w:szCs w:val="24"/>
          <w:lang w:val="en-US" w:eastAsia="zh-CN"/>
        </w:rPr>
      </w:pPr>
      <w:bookmarkStart w:id="46" w:name="_Toc14418"/>
      <w:bookmarkStart w:id="47" w:name="_Toc20375"/>
      <w:r>
        <w:rPr>
          <w:rFonts w:hint="eastAsia" w:ascii="仿宋" w:hAnsi="仿宋" w:eastAsia="仿宋" w:cs="仿宋"/>
          <w:b/>
          <w:bCs/>
          <w:sz w:val="24"/>
          <w:szCs w:val="24"/>
          <w:lang w:val="en-US" w:eastAsia="zh-CN"/>
        </w:rPr>
        <w:t>（一）项目背景概述</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为更好支持开展进银基金、新型政策性金融工具的投资与管理工作，解决基金业务无系统功能支持问题，为基金公司的贷款投放和贷后管理提供系统功能支持，实现包括客户信息管理、评级授信、业务审批、贷款投放、投后管理、监管报送等操作的系统线上化。综上，拟启动2026年联合开发系统（基金业务需求）实施项目。</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（二）需求依据和来源</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根据基金业务需求书（见附件，含进银基金、新型政策性金融工具），对基金业务全流程相关系统进行功能改造，包括客户信息管理、评级授信、业务审批、贷款投放、账务核算、投后管理、监管报送等全流程业务涉及的系统，实现采购人基金业务的全流程系统化操作，解决基金业务无系统支持问题，提高采购人对基金投放管理和风控管理能力。</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（三）功能或目标</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本项目目标：实现采购人基金业务全流程系统支撑，基金业务流程包括客户信息管理、评级授信、业务审批、贷款投放、账务核算、投后管理、数据报送等全流程业务操作，本项目涉及基金业务全流程相关的系统功能的改造实施工作，实现采购人基金业务的全流程系统化操作，提高采购人对基金投放管理和风控管理能力。</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初步评估涉及改造、测试系统范围包括：客户信息管理、信贷业务管理、贷款核心、员工渠道整合平台、机构信息和用户管理、企业数据仓库、监管应用、财务会计-非引擎等47个物理子系统改造、配合测试。</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本项目拟采购服务内容：</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1.固定需求工作量服务。完成采购人基金业务全流程涉及的相关系统功能的改造开发、测试及上线，包括但不限于需求范围内的架构分析、需求分析、开发实施、测试、投产、运行维护等内容。</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预留计划外工作量服务。采购人首次建设支持基金业务开展的系统，为应对系统建设中出现计划外紧急需求，或前期差异化分析中未识别的功能需求，预留50人月（固定需求工作量*15%）计划外工作量，用于基金业务相关计划外需求的开发、测试和上线等服务，并据实结算。</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本项目要求合同签署后7个月内完成投产上线，并力争提前。上线后三个月为重保期，重保期结束后需提供一年的免费维保服务。</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本项目存在难点如下：</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1、目前拥有涉及改造系统的全部源代码、可支持开发的接口文档及操作文档等资料，本项目需依托原系统平台及行内整体系统架构进行二次开发，根据上述材料可能存在技术壁垒。</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b w:val="0"/>
          <w:bCs w:val="0"/>
          <w:sz w:val="24"/>
          <w:szCs w:val="24"/>
          <w:lang w:val="en-US" w:eastAsia="zh-CN"/>
        </w:rPr>
        <w:t>乙方需保证达成项目目标（包括但不限于乙方能够克服上述难点），项目后续目标是投产后系统运行正常，为此乙方需保证交付成果可使后续目标能够据此实现。</w:t>
      </w:r>
    </w:p>
    <w:bookmarkEnd w:id="46"/>
    <w:bookmarkEnd w:id="47"/>
    <w:p>
      <w:pPr>
        <w:pStyle w:val="10"/>
        <w:numPr>
          <w:ilvl w:val="0"/>
          <w:numId w:val="0"/>
        </w:numPr>
        <w:adjustRightInd w:val="0"/>
        <w:spacing w:before="0" w:beforeLines="0" w:after="0" w:afterLines="0" w:line="360" w:lineRule="auto"/>
        <w:ind w:left="192" w:leftChars="0" w:firstLine="482" w:firstLineChars="200"/>
        <w:jc w:val="both"/>
        <w:textAlignment w:val="baseline"/>
        <w:outlineLvl w:val="1"/>
        <w:rPr>
          <w:rFonts w:hint="eastAsia"/>
        </w:rPr>
      </w:pPr>
      <w:bookmarkStart w:id="48" w:name="_Toc14009"/>
      <w:r>
        <w:rPr>
          <w:rFonts w:hint="eastAsia" w:ascii="仿宋" w:hAnsi="仿宋" w:eastAsia="仿宋" w:cs="仿宋"/>
          <w:b/>
          <w:bCs/>
          <w:sz w:val="24"/>
          <w:szCs w:val="24"/>
          <w:lang w:val="en-US" w:eastAsia="zh-CN"/>
        </w:rPr>
        <w:t>二、</w:t>
      </w:r>
      <w:r>
        <w:rPr>
          <w:rFonts w:hint="eastAsia" w:ascii="仿宋" w:hAnsi="仿宋" w:eastAsia="仿宋" w:cs="仿宋"/>
          <w:b/>
          <w:bCs/>
          <w:sz w:val="24"/>
          <w:szCs w:val="24"/>
        </w:rPr>
        <w:t>服务一览表</w:t>
      </w:r>
      <w:bookmarkEnd w:id="48"/>
    </w:p>
    <w:tbl>
      <w:tblPr>
        <w:tblStyle w:val="13"/>
        <w:tblW w:w="92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457"/>
        <w:gridCol w:w="2652"/>
        <w:gridCol w:w="1584"/>
        <w:gridCol w:w="2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786" w:type="dxa"/>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beforeLines="0" w:afterLines="0" w:line="360" w:lineRule="exact"/>
              <w:ind w:firstLine="0" w:firstLineChars="0"/>
              <w:jc w:val="center"/>
              <w:textAlignment w:val="auto"/>
              <w:rPr>
                <w:rFonts w:hint="eastAsia" w:ascii="黑体" w:hAnsi="黑体" w:eastAsia="黑体" w:cs="黑体"/>
                <w:b/>
                <w:bCs/>
                <w:color w:val="auto"/>
                <w:sz w:val="24"/>
              </w:rPr>
            </w:pPr>
            <w:bookmarkStart w:id="49" w:name="_Toc20903"/>
            <w:r>
              <w:rPr>
                <w:rFonts w:hint="eastAsia" w:ascii="黑体" w:hAnsi="黑体" w:eastAsia="黑体" w:cs="黑体"/>
                <w:b/>
                <w:bCs/>
                <w:color w:val="auto"/>
                <w:sz w:val="24"/>
              </w:rPr>
              <w:t>序号</w:t>
            </w:r>
          </w:p>
        </w:tc>
        <w:tc>
          <w:tcPr>
            <w:tcW w:w="1457" w:type="dxa"/>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beforeLines="0" w:afterLines="0" w:line="360" w:lineRule="exact"/>
              <w:ind w:firstLine="0" w:firstLineChars="0"/>
              <w:jc w:val="center"/>
              <w:textAlignment w:val="auto"/>
              <w:rPr>
                <w:rFonts w:hint="eastAsia" w:ascii="黑体" w:hAnsi="黑体" w:eastAsia="黑体" w:cs="黑体"/>
                <w:b/>
                <w:bCs/>
                <w:color w:val="auto"/>
                <w:sz w:val="24"/>
              </w:rPr>
            </w:pPr>
            <w:r>
              <w:rPr>
                <w:rFonts w:hint="eastAsia" w:ascii="黑体" w:hAnsi="黑体" w:eastAsia="黑体" w:cs="黑体"/>
                <w:b/>
                <w:bCs/>
                <w:color w:val="auto"/>
                <w:sz w:val="24"/>
              </w:rPr>
              <w:t>服务名称</w:t>
            </w:r>
          </w:p>
        </w:tc>
        <w:tc>
          <w:tcPr>
            <w:tcW w:w="26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beforeLines="0" w:afterLines="0" w:line="360" w:lineRule="exact"/>
              <w:ind w:firstLine="0" w:firstLineChars="0"/>
              <w:jc w:val="center"/>
              <w:textAlignment w:val="auto"/>
              <w:rPr>
                <w:rFonts w:hint="eastAsia" w:ascii="黑体" w:hAnsi="黑体" w:eastAsia="黑体" w:cs="黑体"/>
                <w:b/>
                <w:bCs/>
                <w:color w:val="auto"/>
                <w:sz w:val="24"/>
              </w:rPr>
            </w:pPr>
            <w:r>
              <w:rPr>
                <w:rFonts w:hint="eastAsia" w:ascii="黑体" w:hAnsi="黑体" w:eastAsia="黑体" w:cs="黑体"/>
                <w:b/>
                <w:bCs/>
                <w:color w:val="auto"/>
                <w:sz w:val="24"/>
              </w:rPr>
              <w:t>服务期</w:t>
            </w:r>
          </w:p>
        </w:tc>
        <w:tc>
          <w:tcPr>
            <w:tcW w:w="1584" w:type="dxa"/>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beforeLines="0" w:afterLines="0" w:line="360" w:lineRule="exact"/>
              <w:ind w:firstLine="0" w:firstLineChars="0"/>
              <w:jc w:val="center"/>
              <w:textAlignment w:val="auto"/>
              <w:rPr>
                <w:rFonts w:hint="eastAsia" w:ascii="黑体" w:hAnsi="黑体" w:eastAsia="黑体" w:cs="黑体"/>
                <w:b/>
                <w:bCs/>
                <w:color w:val="auto"/>
                <w:sz w:val="24"/>
                <w:lang w:eastAsia="zh-CN"/>
              </w:rPr>
            </w:pPr>
            <w:r>
              <w:rPr>
                <w:rFonts w:hint="eastAsia" w:ascii="黑体" w:hAnsi="黑体" w:eastAsia="黑体" w:cs="黑体"/>
                <w:b/>
                <w:bCs/>
                <w:color w:val="auto"/>
                <w:sz w:val="24"/>
              </w:rPr>
              <w:t>服务人员和数量要求</w:t>
            </w:r>
          </w:p>
        </w:tc>
        <w:tc>
          <w:tcPr>
            <w:tcW w:w="2733" w:type="dxa"/>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beforeLines="0" w:afterLines="0" w:line="360" w:lineRule="exact"/>
              <w:ind w:firstLine="0" w:firstLineChars="0"/>
              <w:jc w:val="center"/>
              <w:textAlignment w:val="auto"/>
              <w:rPr>
                <w:rFonts w:hint="default" w:ascii="黑体" w:hAnsi="黑体" w:eastAsia="黑体" w:cs="黑体"/>
                <w:b/>
                <w:bCs/>
                <w:color w:val="auto"/>
                <w:sz w:val="24"/>
              </w:rPr>
            </w:pPr>
            <w:r>
              <w:rPr>
                <w:rFonts w:hint="default" w:ascii="黑体" w:hAnsi="黑体" w:eastAsia="黑体" w:cs="黑体"/>
                <w:b/>
                <w:bCs/>
                <w:color w:val="auto"/>
                <w:sz w:val="24"/>
                <w:lang w:eastAsia="zh-CN"/>
              </w:rPr>
              <w:t>服务内容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786" w:type="dxa"/>
            <w:tcBorders>
              <w:top w:val="single" w:color="auto" w:sz="4" w:space="0"/>
              <w:left w:val="single" w:color="auto" w:sz="4" w:space="0"/>
              <w:right w:val="single" w:color="auto" w:sz="4" w:space="0"/>
            </w:tcBorders>
            <w:shd w:val="clear" w:color="auto" w:fill="auto"/>
            <w:noWrap w:val="0"/>
            <w:vAlign w:val="center"/>
          </w:tcPr>
          <w:p>
            <w:pPr>
              <w:numPr>
                <w:ilvl w:val="255"/>
                <w:numId w:val="0"/>
              </w:numPr>
              <w:ind w:left="0" w:leftChars="0" w:firstLine="0" w:firstLineChars="0"/>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rPr>
              <w:t>1</w:t>
            </w:r>
          </w:p>
        </w:tc>
        <w:tc>
          <w:tcPr>
            <w:tcW w:w="1457" w:type="dxa"/>
            <w:tcBorders>
              <w:top w:val="single" w:color="auto" w:sz="4" w:space="0"/>
              <w:left w:val="single" w:color="auto" w:sz="4" w:space="0"/>
              <w:right w:val="single" w:color="auto" w:sz="4" w:space="0"/>
            </w:tcBorders>
            <w:shd w:val="clear" w:color="auto" w:fill="auto"/>
            <w:noWrap w:val="0"/>
            <w:vAlign w:val="center"/>
          </w:tcPr>
          <w:p>
            <w:p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rPr>
              <w:t>固定需求工作量服务</w:t>
            </w:r>
          </w:p>
        </w:tc>
        <w:tc>
          <w:tcPr>
            <w:tcW w:w="2652" w:type="dxa"/>
            <w:tcBorders>
              <w:top w:val="single" w:color="auto" w:sz="4" w:space="0"/>
              <w:left w:val="single" w:color="auto" w:sz="4" w:space="0"/>
              <w:right w:val="single" w:color="auto" w:sz="4" w:space="0"/>
            </w:tcBorders>
            <w:shd w:val="clear" w:color="auto" w:fill="auto"/>
            <w:noWrap w:val="0"/>
            <w:vAlign w:val="center"/>
          </w:tcPr>
          <w:p>
            <w:pPr>
              <w:jc w:val="center"/>
              <w:rPr>
                <w:rFonts w:hint="eastAsia" w:ascii="仿宋_GB2312" w:hAnsi="仿宋_GB2312" w:eastAsia="仿宋_GB2312" w:cs="仿宋_GB2312"/>
                <w:color w:val="auto"/>
                <w:sz w:val="22"/>
                <w:szCs w:val="22"/>
              </w:rPr>
            </w:pPr>
            <w:r>
              <w:rPr>
                <w:rFonts w:hint="eastAsia" w:ascii="仿宋_GB2312" w:hAnsi="仿宋_GB2312" w:eastAsia="仿宋_GB2312" w:cs="仿宋_GB2312"/>
                <w:color w:val="auto"/>
                <w:sz w:val="22"/>
                <w:szCs w:val="22"/>
              </w:rPr>
              <w:t>自合同签署后至项目维保期结束。</w:t>
            </w:r>
          </w:p>
          <w:p>
            <w:p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rPr>
              <w:t>（项目投产三个月为重保期，重保期后可开展项目验收，免费维护期为投产上线且重保期满3个月后12个月。）</w:t>
            </w:r>
          </w:p>
        </w:tc>
        <w:tc>
          <w:tcPr>
            <w:tcW w:w="1584" w:type="dxa"/>
            <w:tcBorders>
              <w:top w:val="single" w:color="auto" w:sz="4" w:space="0"/>
              <w:left w:val="single" w:color="auto" w:sz="4" w:space="0"/>
              <w:right w:val="single" w:color="auto" w:sz="4" w:space="0"/>
            </w:tcBorders>
            <w:shd w:val="clear" w:color="auto" w:fill="auto"/>
            <w:noWrap w:val="0"/>
            <w:vAlign w:val="center"/>
          </w:tcPr>
          <w:p>
            <w:pPr>
              <w:pStyle w:val="5"/>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ascii="仿宋_GB2312" w:hAnsi="仿宋_GB2312" w:eastAsia="仿宋_GB2312" w:cs="仿宋_GB2312"/>
                <w:color w:val="auto"/>
                <w:sz w:val="22"/>
                <w:szCs w:val="22"/>
              </w:rPr>
              <w:t>根据项目需要安排人员</w:t>
            </w:r>
          </w:p>
        </w:tc>
        <w:tc>
          <w:tcPr>
            <w:tcW w:w="2733" w:type="dxa"/>
            <w:tcBorders>
              <w:top w:val="single" w:color="auto" w:sz="4" w:space="0"/>
              <w:left w:val="single" w:color="auto" w:sz="4" w:space="0"/>
              <w:right w:val="single" w:color="auto" w:sz="4" w:space="0"/>
            </w:tcBorders>
            <w:shd w:val="clear" w:color="auto" w:fill="auto"/>
            <w:noWrap w:val="0"/>
            <w:vAlign w:val="center"/>
          </w:tcPr>
          <w:p>
            <w:p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rPr>
              <w:t>根据</w:t>
            </w:r>
            <w:r>
              <w:rPr>
                <w:rFonts w:hint="eastAsia" w:ascii="仿宋_GB2312" w:hAnsi="仿宋_GB2312" w:eastAsia="仿宋_GB2312" w:cs="仿宋_GB2312"/>
                <w:color w:val="auto"/>
                <w:sz w:val="22"/>
                <w:szCs w:val="22"/>
                <w:lang w:val="en-US" w:eastAsia="zh-CN"/>
              </w:rPr>
              <w:t>采购人</w:t>
            </w:r>
            <w:r>
              <w:rPr>
                <w:rFonts w:hint="eastAsia" w:ascii="仿宋_GB2312" w:hAnsi="仿宋_GB2312" w:eastAsia="仿宋_GB2312" w:cs="仿宋_GB2312"/>
                <w:color w:val="auto"/>
                <w:sz w:val="22"/>
                <w:szCs w:val="22"/>
              </w:rPr>
              <w:t>需求开展需求分析、设计、开发、测试和投产上线等工作。详细服务内容见下表。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atLeast"/>
          <w:jc w:val="center"/>
        </w:trPr>
        <w:tc>
          <w:tcPr>
            <w:tcW w:w="786" w:type="dxa"/>
            <w:tcBorders>
              <w:left w:val="single" w:color="auto" w:sz="4" w:space="0"/>
              <w:bottom w:val="single" w:color="auto" w:sz="4" w:space="0"/>
              <w:right w:val="single" w:color="auto" w:sz="4" w:space="0"/>
            </w:tcBorders>
            <w:shd w:val="clear" w:color="auto" w:fill="auto"/>
            <w:noWrap w:val="0"/>
            <w:vAlign w:val="center"/>
          </w:tcPr>
          <w:p>
            <w:pPr>
              <w:numPr>
                <w:ilvl w:val="255"/>
                <w:numId w:val="0"/>
              </w:num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lang w:val="en-US" w:eastAsia="zh-CN"/>
              </w:rPr>
              <w:t>2</w:t>
            </w:r>
          </w:p>
        </w:tc>
        <w:tc>
          <w:tcPr>
            <w:tcW w:w="1457" w:type="dxa"/>
            <w:tcBorders>
              <w:left w:val="single" w:color="auto" w:sz="4" w:space="0"/>
              <w:bottom w:val="single" w:color="auto" w:sz="4" w:space="0"/>
              <w:right w:val="single" w:color="auto" w:sz="4" w:space="0"/>
            </w:tcBorders>
            <w:shd w:val="clear" w:color="auto" w:fill="auto"/>
            <w:noWrap w:val="0"/>
            <w:vAlign w:val="center"/>
          </w:tcPr>
          <w:p>
            <w:p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lang w:val="en-US" w:eastAsia="zh-CN"/>
              </w:rPr>
              <w:t>预留计划外工作量服务</w:t>
            </w:r>
          </w:p>
        </w:tc>
        <w:tc>
          <w:tcPr>
            <w:tcW w:w="2652" w:type="dxa"/>
            <w:tcBorders>
              <w:left w:val="single" w:color="auto" w:sz="4" w:space="0"/>
              <w:bottom w:val="single" w:color="auto" w:sz="4" w:space="0"/>
              <w:right w:val="single" w:color="auto" w:sz="4" w:space="0"/>
            </w:tcBorders>
            <w:shd w:val="clear" w:color="auto" w:fill="auto"/>
            <w:noWrap w:val="0"/>
            <w:vAlign w:val="center"/>
          </w:tcPr>
          <w:p>
            <w:p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rPr>
              <w:t>自合同签署后至项目维保期结束。</w:t>
            </w:r>
          </w:p>
        </w:tc>
        <w:tc>
          <w:tcPr>
            <w:tcW w:w="1584" w:type="dxa"/>
            <w:tcBorders>
              <w:left w:val="single" w:color="auto" w:sz="4" w:space="0"/>
              <w:bottom w:val="single" w:color="auto" w:sz="4" w:space="0"/>
              <w:right w:val="single" w:color="auto" w:sz="4" w:space="0"/>
            </w:tcBorders>
            <w:shd w:val="clear" w:color="auto" w:fill="auto"/>
            <w:noWrap w:val="0"/>
            <w:vAlign w:val="center"/>
          </w:tcPr>
          <w:p>
            <w:pPr>
              <w:pStyle w:val="5"/>
              <w:ind w:left="0" w:leftChars="0" w:firstLine="0" w:firstLineChars="0"/>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lang w:val="en-US" w:eastAsia="zh-CN"/>
              </w:rPr>
              <w:t>不超过50人月</w:t>
            </w:r>
          </w:p>
        </w:tc>
        <w:tc>
          <w:tcPr>
            <w:tcW w:w="2733" w:type="dxa"/>
            <w:tcBorders>
              <w:left w:val="single" w:color="auto" w:sz="4" w:space="0"/>
              <w:bottom w:val="single" w:color="auto" w:sz="4" w:space="0"/>
              <w:right w:val="single" w:color="auto" w:sz="4" w:space="0"/>
            </w:tcBorders>
            <w:shd w:val="clear" w:color="auto" w:fill="auto"/>
            <w:noWrap w:val="0"/>
            <w:vAlign w:val="center"/>
          </w:tcPr>
          <w:p>
            <w:pPr>
              <w:jc w:val="center"/>
              <w:rPr>
                <w:rFonts w:hint="default" w:ascii="仿宋_GB2312" w:hAnsi="仿宋_GB2312" w:eastAsia="仿宋_GB2312" w:cs="仿宋_GB2312"/>
                <w:color w:val="auto"/>
                <w:kern w:val="2"/>
                <w:sz w:val="22"/>
                <w:szCs w:val="22"/>
                <w:lang w:val="en-US" w:eastAsia="zh-CN" w:bidi="ar-SA"/>
              </w:rPr>
            </w:pPr>
            <w:r>
              <w:rPr>
                <w:rFonts w:hint="eastAsia" w:ascii="仿宋_GB2312" w:hAnsi="仿宋_GB2312" w:eastAsia="仿宋_GB2312" w:cs="仿宋_GB2312"/>
                <w:color w:val="auto"/>
                <w:sz w:val="22"/>
                <w:szCs w:val="22"/>
              </w:rPr>
              <w:t>根据</w:t>
            </w:r>
            <w:r>
              <w:rPr>
                <w:rFonts w:hint="eastAsia" w:ascii="仿宋_GB2312" w:hAnsi="仿宋_GB2312" w:eastAsia="仿宋_GB2312" w:cs="仿宋_GB2312"/>
                <w:color w:val="auto"/>
                <w:sz w:val="22"/>
                <w:szCs w:val="22"/>
                <w:lang w:val="en-US" w:eastAsia="zh-CN"/>
              </w:rPr>
              <w:t>采购人</w:t>
            </w:r>
            <w:r>
              <w:rPr>
                <w:rFonts w:hint="eastAsia" w:ascii="仿宋_GB2312" w:hAnsi="仿宋_GB2312" w:eastAsia="仿宋_GB2312" w:cs="仿宋_GB2312"/>
                <w:color w:val="auto"/>
                <w:sz w:val="22"/>
                <w:szCs w:val="22"/>
              </w:rPr>
              <w:t>需求开展需求分析、设计、开发、测试和投产上线等工作。详细服务内容见下表。</w:t>
            </w:r>
          </w:p>
        </w:tc>
      </w:tr>
    </w:tbl>
    <w:p>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eastAsia"/>
        </w:rPr>
      </w:pPr>
    </w:p>
    <w:tbl>
      <w:tblPr>
        <w:tblStyle w:val="13"/>
        <w:tblW w:w="9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548"/>
        <w:gridCol w:w="6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922" w:type="dxa"/>
            <w:vMerge w:val="restart"/>
            <w:tcBorders>
              <w:top w:val="single" w:color="auto" w:sz="4" w:space="0"/>
              <w:left w:val="single" w:color="auto" w:sz="4" w:space="0"/>
              <w:right w:val="single" w:color="auto" w:sz="4" w:space="0"/>
            </w:tcBorders>
            <w:vAlign w:val="center"/>
          </w:tcPr>
          <w:p>
            <w:pPr>
              <w:spacing w:line="360" w:lineRule="exact"/>
              <w:jc w:val="center"/>
              <w:rPr>
                <w:rFonts w:hint="eastAsia" w:ascii="黑体" w:hAnsi="黑体" w:eastAsia="黑体" w:cs="黑体"/>
                <w:b/>
                <w:bCs/>
                <w:sz w:val="24"/>
              </w:rPr>
            </w:pPr>
            <w:r>
              <w:rPr>
                <w:rFonts w:hint="eastAsia" w:ascii="黑体" w:hAnsi="黑体" w:eastAsia="黑体" w:cs="黑体"/>
                <w:b/>
                <w:bCs/>
                <w:sz w:val="24"/>
              </w:rPr>
              <w:t>序号</w:t>
            </w:r>
          </w:p>
        </w:tc>
        <w:tc>
          <w:tcPr>
            <w:tcW w:w="1548" w:type="dxa"/>
            <w:vMerge w:val="restart"/>
            <w:tcBorders>
              <w:top w:val="single" w:color="auto" w:sz="4" w:space="0"/>
              <w:left w:val="single" w:color="auto" w:sz="4" w:space="0"/>
              <w:right w:val="single" w:color="auto" w:sz="4" w:space="0"/>
            </w:tcBorders>
            <w:vAlign w:val="center"/>
          </w:tcPr>
          <w:p>
            <w:pPr>
              <w:spacing w:line="360" w:lineRule="exact"/>
              <w:jc w:val="center"/>
              <w:rPr>
                <w:rFonts w:hint="eastAsia" w:ascii="黑体" w:hAnsi="黑体" w:eastAsia="黑体" w:cs="黑体"/>
                <w:b/>
                <w:bCs/>
                <w:sz w:val="24"/>
              </w:rPr>
            </w:pPr>
            <w:r>
              <w:rPr>
                <w:rFonts w:hint="eastAsia" w:ascii="黑体" w:hAnsi="黑体" w:eastAsia="黑体" w:cs="黑体"/>
                <w:b/>
                <w:bCs/>
                <w:sz w:val="24"/>
              </w:rPr>
              <w:t>服务内容</w:t>
            </w:r>
          </w:p>
        </w:tc>
        <w:tc>
          <w:tcPr>
            <w:tcW w:w="6584" w:type="dxa"/>
            <w:vMerge w:val="restart"/>
            <w:tcBorders>
              <w:top w:val="single" w:color="auto" w:sz="4" w:space="0"/>
              <w:left w:val="single" w:color="auto" w:sz="4" w:space="0"/>
              <w:right w:val="single" w:color="auto" w:sz="4" w:space="0"/>
            </w:tcBorders>
            <w:vAlign w:val="center"/>
          </w:tcPr>
          <w:p>
            <w:pPr>
              <w:spacing w:line="360" w:lineRule="exact"/>
              <w:jc w:val="center"/>
              <w:rPr>
                <w:rFonts w:hint="eastAsia" w:ascii="黑体" w:hAnsi="黑体" w:eastAsia="黑体" w:cs="黑体"/>
                <w:b/>
                <w:bCs/>
                <w:sz w:val="24"/>
              </w:rPr>
            </w:pPr>
            <w:r>
              <w:rPr>
                <w:rFonts w:ascii="黑体" w:hAnsi="黑体" w:eastAsia="黑体" w:cs="黑体"/>
                <w:b/>
                <w:bCs/>
                <w:sz w:val="24"/>
              </w:rPr>
              <w:t>主要</w:t>
            </w:r>
            <w:r>
              <w:rPr>
                <w:rFonts w:hint="eastAsia" w:ascii="黑体" w:hAnsi="黑体" w:eastAsia="黑体" w:cs="黑体"/>
                <w:b/>
                <w:bCs/>
                <w:sz w:val="24"/>
              </w:rPr>
              <w:t>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22" w:type="dxa"/>
            <w:vMerge w:val="continue"/>
            <w:tcBorders>
              <w:left w:val="single" w:color="auto" w:sz="4" w:space="0"/>
              <w:bottom w:val="single" w:color="auto" w:sz="4" w:space="0"/>
              <w:right w:val="single" w:color="auto" w:sz="4" w:space="0"/>
            </w:tcBorders>
          </w:tcPr>
          <w:p>
            <w:pPr>
              <w:spacing w:line="360" w:lineRule="exact"/>
              <w:ind w:firstLine="480" w:firstLineChars="200"/>
              <w:jc w:val="center"/>
              <w:rPr>
                <w:rFonts w:eastAsia="仿宋_GB2312"/>
                <w:sz w:val="24"/>
              </w:rPr>
            </w:pPr>
          </w:p>
        </w:tc>
        <w:tc>
          <w:tcPr>
            <w:tcW w:w="1548" w:type="dxa"/>
            <w:vMerge w:val="continue"/>
            <w:tcBorders>
              <w:left w:val="single" w:color="auto" w:sz="4" w:space="0"/>
              <w:bottom w:val="single" w:color="auto" w:sz="4" w:space="0"/>
              <w:right w:val="single" w:color="auto" w:sz="4" w:space="0"/>
            </w:tcBorders>
          </w:tcPr>
          <w:p>
            <w:pPr>
              <w:spacing w:line="360" w:lineRule="exact"/>
              <w:ind w:firstLine="480" w:firstLineChars="200"/>
              <w:jc w:val="center"/>
              <w:rPr>
                <w:rFonts w:eastAsia="仿宋_GB2312"/>
                <w:sz w:val="24"/>
              </w:rPr>
            </w:pPr>
          </w:p>
        </w:tc>
        <w:tc>
          <w:tcPr>
            <w:tcW w:w="6584" w:type="dxa"/>
            <w:vMerge w:val="continue"/>
            <w:tcBorders>
              <w:left w:val="single" w:color="auto" w:sz="4" w:space="0"/>
              <w:bottom w:val="single" w:color="auto" w:sz="4" w:space="0"/>
              <w:right w:val="single" w:color="auto" w:sz="4" w:space="0"/>
            </w:tcBorders>
          </w:tcPr>
          <w:p>
            <w:pPr>
              <w:spacing w:line="360" w:lineRule="exact"/>
              <w:ind w:firstLine="480" w:firstLineChars="200"/>
              <w:jc w:val="center"/>
              <w:rPr>
                <w:rFonts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922" w:type="dxa"/>
            <w:tcBorders>
              <w:top w:val="single" w:color="auto" w:sz="4" w:space="0"/>
              <w:left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top w:val="single" w:color="auto" w:sz="4" w:space="0"/>
              <w:left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项目管理</w:t>
            </w:r>
          </w:p>
        </w:tc>
        <w:tc>
          <w:tcPr>
            <w:tcW w:w="6584" w:type="dxa"/>
            <w:tcBorders>
              <w:top w:val="single" w:color="auto" w:sz="4" w:space="0"/>
              <w:left w:val="single" w:color="auto" w:sz="4" w:space="0"/>
              <w:right w:val="single" w:color="auto" w:sz="4" w:space="0"/>
            </w:tcBorders>
            <w:vAlign w:val="center"/>
          </w:tcPr>
          <w:p>
            <w:pPr>
              <w:pStyle w:val="2"/>
              <w:widowControl/>
              <w:spacing w:after="0" w:line="400" w:lineRule="exact"/>
              <w:ind w:left="0" w:leftChars="0" w:firstLine="0" w:firstLineChars="0"/>
              <w:jc w:val="left"/>
              <w:rPr>
                <w:rFonts w:hint="eastAsia" w:ascii="仿宋_GB2312" w:hAnsi="仿宋_GB2312" w:eastAsia="仿宋_GB2312" w:cs="仿宋_GB2312"/>
                <w:sz w:val="24"/>
              </w:rPr>
            </w:pPr>
            <w:r>
              <w:rPr>
                <w:rFonts w:hint="eastAsia" w:hAnsi="楷体" w:eastAsia="仿宋_GB2312"/>
                <w:sz w:val="24"/>
                <w:szCs w:val="22"/>
              </w:rPr>
              <w:t>配合</w:t>
            </w:r>
            <w:r>
              <w:rPr>
                <w:rFonts w:hint="eastAsia" w:hAnsi="楷体" w:eastAsia="仿宋_GB2312"/>
                <w:sz w:val="24"/>
                <w:szCs w:val="22"/>
                <w:lang w:eastAsia="zh-CN"/>
              </w:rPr>
              <w:t>采购人</w:t>
            </w:r>
            <w:r>
              <w:rPr>
                <w:rFonts w:hint="eastAsia" w:hAnsi="楷体" w:eastAsia="仿宋_GB2312"/>
                <w:sz w:val="24"/>
                <w:szCs w:val="22"/>
              </w:rPr>
              <w:t>开展以下工作：</w:t>
            </w:r>
            <w:r>
              <w:rPr>
                <w:rFonts w:hAnsi="楷体" w:eastAsia="仿宋_GB2312"/>
                <w:sz w:val="24"/>
                <w:szCs w:val="22"/>
              </w:rPr>
              <w:t>制定项目计划，监督和控制项目进度</w:t>
            </w:r>
            <w:r>
              <w:rPr>
                <w:rFonts w:hint="eastAsia" w:hAnsi="楷体" w:eastAsia="仿宋_GB2312"/>
                <w:sz w:val="24"/>
                <w:szCs w:val="22"/>
              </w:rPr>
              <w:t>；</w:t>
            </w:r>
            <w:r>
              <w:rPr>
                <w:rFonts w:hAnsi="楷体" w:eastAsia="仿宋_GB2312"/>
                <w:sz w:val="24"/>
                <w:szCs w:val="22"/>
              </w:rPr>
              <w:t>负责管理安排项目资源</w:t>
            </w:r>
            <w:r>
              <w:rPr>
                <w:rFonts w:hint="eastAsia" w:hAnsi="楷体" w:eastAsia="仿宋_GB2312"/>
                <w:sz w:val="24"/>
                <w:szCs w:val="22"/>
              </w:rPr>
              <w:t>；开展</w:t>
            </w:r>
            <w:r>
              <w:rPr>
                <w:rFonts w:hAnsi="楷体" w:eastAsia="仿宋_GB2312"/>
                <w:sz w:val="24"/>
                <w:szCs w:val="22"/>
              </w:rPr>
              <w:t>实施项目配置和交付管理以及项目质量管理</w:t>
            </w:r>
            <w:r>
              <w:rPr>
                <w:rFonts w:hint="eastAsia" w:hAnsi="楷体" w:eastAsia="仿宋_GB2312"/>
                <w:sz w:val="24"/>
                <w:szCs w:val="22"/>
              </w:rPr>
              <w:t>；开展</w:t>
            </w:r>
            <w:r>
              <w:rPr>
                <w:rFonts w:hAnsi="楷体" w:eastAsia="仿宋_GB2312"/>
                <w:sz w:val="24"/>
                <w:szCs w:val="22"/>
              </w:rPr>
              <w:t>项目问题管理和项目风险管理</w:t>
            </w:r>
            <w:r>
              <w:rPr>
                <w:rFonts w:hint="eastAsia" w:hAnsi="楷体" w:eastAsia="仿宋_GB2312"/>
                <w:sz w:val="24"/>
                <w:szCs w:val="22"/>
              </w:rPr>
              <w:t>；</w:t>
            </w:r>
            <w:r>
              <w:rPr>
                <w:rFonts w:hAnsi="楷体" w:eastAsia="仿宋_GB2312"/>
                <w:sz w:val="24"/>
                <w:szCs w:val="22"/>
              </w:rPr>
              <w:t>按照要求</w:t>
            </w:r>
            <w:r>
              <w:rPr>
                <w:rFonts w:hint="eastAsia" w:hAnsi="楷体" w:eastAsia="仿宋_GB2312"/>
                <w:sz w:val="24"/>
                <w:szCs w:val="22"/>
              </w:rPr>
              <w:t>定期</w:t>
            </w:r>
            <w:r>
              <w:rPr>
                <w:rFonts w:hAnsi="楷体" w:eastAsia="仿宋_GB2312"/>
                <w:sz w:val="24"/>
                <w:szCs w:val="22"/>
              </w:rPr>
              <w:t>进行工作报告</w:t>
            </w:r>
            <w:r>
              <w:rPr>
                <w:rFonts w:hint="eastAsia" w:hAnsi="楷体" w:eastAsia="仿宋_GB2312"/>
                <w:sz w:val="24"/>
                <w:szCs w:val="22"/>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922" w:type="dxa"/>
            <w:tcBorders>
              <w:left w:val="single" w:color="auto" w:sz="4" w:space="0"/>
              <w:bottom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left w:val="single" w:color="auto" w:sz="4" w:space="0"/>
              <w:bottom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需求分析</w:t>
            </w:r>
          </w:p>
        </w:tc>
        <w:tc>
          <w:tcPr>
            <w:tcW w:w="6584" w:type="dxa"/>
            <w:tcBorders>
              <w:left w:val="single" w:color="auto" w:sz="4" w:space="0"/>
              <w:bottom w:val="single" w:color="auto" w:sz="4" w:space="0"/>
              <w:right w:val="single" w:color="auto" w:sz="4" w:space="0"/>
            </w:tcBorders>
            <w:vAlign w:val="center"/>
          </w:tcPr>
          <w:p>
            <w:pPr>
              <w:widowControl/>
              <w:spacing w:line="360" w:lineRule="exact"/>
              <w:rPr>
                <w:rFonts w:hint="eastAsia" w:ascii="仿宋_GB2312" w:hAnsi="仿宋_GB2312" w:eastAsia="仿宋_GB2312" w:cs="仿宋_GB2312"/>
                <w:sz w:val="24"/>
              </w:rPr>
            </w:pPr>
            <w:r>
              <w:rPr>
                <w:rFonts w:ascii="仿宋_GB2312" w:hAnsi="仿宋_GB2312" w:eastAsia="仿宋_GB2312" w:cs="仿宋_GB2312"/>
                <w:sz w:val="24"/>
              </w:rPr>
              <w:t>根据</w:t>
            </w:r>
            <w:r>
              <w:rPr>
                <w:rFonts w:hint="eastAsia" w:ascii="仿宋_GB2312" w:hAnsi="仿宋_GB2312" w:eastAsia="仿宋_GB2312" w:cs="仿宋_GB2312"/>
                <w:sz w:val="24"/>
              </w:rPr>
              <w:t>业务要求，梳理转化为业务对系统功能性和非功能性等具体要求，形成需求规格说明书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5" w:hRule="atLeast"/>
          <w:jc w:val="center"/>
        </w:trPr>
        <w:tc>
          <w:tcPr>
            <w:tcW w:w="922" w:type="dxa"/>
            <w:tcBorders>
              <w:left w:val="single" w:color="auto" w:sz="4" w:space="0"/>
              <w:bottom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left w:val="single" w:color="auto" w:sz="4" w:space="0"/>
              <w:bottom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ascii="仿宋_GB2312" w:hAnsi="仿宋_GB2312" w:eastAsia="仿宋_GB2312" w:cs="仿宋_GB2312"/>
                <w:sz w:val="24"/>
              </w:rPr>
              <w:t>设</w:t>
            </w:r>
            <w:r>
              <w:rPr>
                <w:rFonts w:hint="eastAsia" w:ascii="仿宋_GB2312" w:hAnsi="仿宋_GB2312" w:eastAsia="仿宋_GB2312" w:cs="仿宋_GB2312"/>
                <w:sz w:val="24"/>
              </w:rPr>
              <w:t xml:space="preserve">  </w:t>
            </w:r>
            <w:r>
              <w:rPr>
                <w:rFonts w:ascii="仿宋_GB2312" w:hAnsi="仿宋_GB2312" w:eastAsia="仿宋_GB2312" w:cs="仿宋_GB2312"/>
                <w:sz w:val="24"/>
              </w:rPr>
              <w:t>计</w:t>
            </w:r>
          </w:p>
        </w:tc>
        <w:tc>
          <w:tcPr>
            <w:tcW w:w="6584" w:type="dxa"/>
            <w:tcBorders>
              <w:left w:val="single" w:color="auto" w:sz="4" w:space="0"/>
              <w:bottom w:val="single" w:color="auto" w:sz="4" w:space="0"/>
              <w:right w:val="single" w:color="auto" w:sz="4" w:space="0"/>
            </w:tcBorders>
            <w:vAlign w:val="center"/>
          </w:tcPr>
          <w:p>
            <w:pPr>
              <w:widowControl/>
              <w:spacing w:line="360" w:lineRule="exact"/>
              <w:rPr>
                <w:rFonts w:hint="eastAsia" w:ascii="仿宋_GB2312" w:hAnsi="仿宋_GB2312" w:eastAsia="仿宋_GB2312" w:cs="仿宋_GB2312"/>
                <w:sz w:val="24"/>
                <w:lang w:eastAsia="zh-CN"/>
              </w:rPr>
            </w:pPr>
            <w:r>
              <w:rPr>
                <w:rFonts w:hint="eastAsia" w:ascii="仿宋_GB2312" w:hAnsi="仿宋_GB2312" w:eastAsia="仿宋_GB2312" w:cs="仿宋_GB2312"/>
                <w:sz w:val="24"/>
                <w:lang w:val="en-US" w:eastAsia="zh-CN"/>
              </w:rPr>
              <w:t>编写项目架构方案说明书，并在项目实施前按照</w:t>
            </w:r>
            <w:r>
              <w:rPr>
                <w:rFonts w:hint="eastAsia" w:ascii="仿宋_GB2312" w:hAnsi="仿宋_GB2312" w:eastAsia="仿宋_GB2312" w:cs="仿宋_GB2312"/>
                <w:color w:val="auto"/>
                <w:sz w:val="22"/>
                <w:szCs w:val="22"/>
                <w:lang w:val="en-US" w:eastAsia="zh-CN"/>
              </w:rPr>
              <w:t>采购人</w:t>
            </w:r>
            <w:r>
              <w:rPr>
                <w:rFonts w:hint="eastAsia" w:ascii="仿宋_GB2312" w:hAnsi="仿宋_GB2312" w:eastAsia="仿宋_GB2312" w:cs="仿宋_GB2312"/>
                <w:sz w:val="24"/>
                <w:lang w:val="en-US" w:eastAsia="zh-CN"/>
              </w:rPr>
              <w:t>要求开展评审。完成</w:t>
            </w:r>
            <w:r>
              <w:rPr>
                <w:rFonts w:hint="eastAsia" w:ascii="仿宋_GB2312" w:hAnsi="仿宋_GB2312" w:eastAsia="仿宋_GB2312" w:cs="仿宋_GB2312"/>
                <w:sz w:val="24"/>
              </w:rPr>
              <w:t>相关</w:t>
            </w:r>
            <w:r>
              <w:rPr>
                <w:rFonts w:ascii="仿宋_GB2312" w:hAnsi="仿宋_GB2312" w:eastAsia="仿宋_GB2312" w:cs="仿宋_GB2312"/>
                <w:sz w:val="24"/>
              </w:rPr>
              <w:t>物理子系统的概要设计、详细设计等相关工作，形成相应</w:t>
            </w:r>
            <w:r>
              <w:rPr>
                <w:rFonts w:hint="eastAsia" w:ascii="仿宋_GB2312" w:hAnsi="仿宋_GB2312" w:eastAsia="仿宋_GB2312" w:cs="仿宋_GB2312"/>
                <w:sz w:val="24"/>
              </w:rPr>
              <w:t>设计</w:t>
            </w:r>
            <w:r>
              <w:rPr>
                <w:rFonts w:ascii="仿宋_GB2312" w:hAnsi="仿宋_GB2312" w:eastAsia="仿宋_GB2312" w:cs="仿宋_GB2312"/>
                <w:sz w:val="24"/>
              </w:rPr>
              <w:t>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922" w:type="dxa"/>
            <w:tcBorders>
              <w:top w:val="single" w:color="auto" w:sz="4" w:space="0"/>
              <w:left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top w:val="single" w:color="auto" w:sz="4" w:space="0"/>
              <w:left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开  发</w:t>
            </w:r>
          </w:p>
        </w:tc>
        <w:tc>
          <w:tcPr>
            <w:tcW w:w="6584" w:type="dxa"/>
            <w:tcBorders>
              <w:top w:val="single" w:color="auto" w:sz="4" w:space="0"/>
              <w:left w:val="single" w:color="auto" w:sz="4" w:space="0"/>
              <w:right w:val="single" w:color="auto" w:sz="4" w:space="0"/>
            </w:tcBorders>
            <w:vAlign w:val="center"/>
          </w:tcPr>
          <w:p>
            <w:pPr>
              <w:widowControl/>
              <w:spacing w:line="360" w:lineRule="exact"/>
              <w:rPr>
                <w:rFonts w:hint="eastAsia" w:ascii="仿宋_GB2312" w:hAnsi="仿宋_GB2312" w:eastAsia="仿宋_GB2312" w:cs="仿宋_GB2312"/>
                <w:sz w:val="24"/>
              </w:rPr>
            </w:pPr>
            <w:r>
              <w:rPr>
                <w:rFonts w:hint="eastAsia" w:ascii="仿宋_GB2312" w:hAnsi="仿宋_GB2312" w:eastAsia="仿宋_GB2312" w:cs="仿宋_GB2312"/>
                <w:sz w:val="24"/>
              </w:rPr>
              <w:t>根据功能设计按计划完成开发，实现设计功能</w:t>
            </w:r>
            <w:r>
              <w:rPr>
                <w:rFonts w:ascii="仿宋_GB2312" w:hAnsi="仿宋_GB2312" w:eastAsia="仿宋_GB2312" w:cs="仿宋_GB2312"/>
                <w:sz w:val="24"/>
              </w:rPr>
              <w:t>，</w:t>
            </w:r>
            <w:r>
              <w:rPr>
                <w:rFonts w:hint="eastAsia" w:ascii="仿宋_GB2312" w:hAnsi="仿宋_GB2312" w:eastAsia="仿宋_GB2312" w:cs="仿宋_GB2312"/>
                <w:sz w:val="24"/>
              </w:rPr>
              <w:t>完成单元测试等工作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9" w:hRule="atLeast"/>
          <w:jc w:val="center"/>
        </w:trPr>
        <w:tc>
          <w:tcPr>
            <w:tcW w:w="922" w:type="dxa"/>
            <w:tcBorders>
              <w:top w:val="single" w:color="auto" w:sz="4" w:space="0"/>
              <w:left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top w:val="single" w:color="auto" w:sz="4" w:space="0"/>
              <w:left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测  试</w:t>
            </w:r>
          </w:p>
        </w:tc>
        <w:tc>
          <w:tcPr>
            <w:tcW w:w="6584" w:type="dxa"/>
            <w:tcBorders>
              <w:top w:val="single" w:color="auto" w:sz="4" w:space="0"/>
              <w:left w:val="single" w:color="auto" w:sz="4" w:space="0"/>
              <w:right w:val="single" w:color="auto" w:sz="4" w:space="0"/>
            </w:tcBorders>
            <w:vAlign w:val="center"/>
          </w:tcPr>
          <w:p>
            <w:pPr>
              <w:widowControl/>
              <w:spacing w:line="360" w:lineRule="exact"/>
              <w:rPr>
                <w:rFonts w:hint="eastAsia" w:ascii="仿宋_GB2312" w:hAnsi="仿宋_GB2312" w:eastAsia="仿宋_GB2312" w:cs="仿宋_GB2312"/>
                <w:sz w:val="24"/>
              </w:rPr>
            </w:pPr>
            <w:r>
              <w:rPr>
                <w:rFonts w:hint="eastAsia" w:ascii="仿宋_GB2312" w:hAnsi="仿宋_GB2312" w:eastAsia="仿宋_GB2312" w:cs="仿宋_GB2312"/>
                <w:sz w:val="24"/>
              </w:rPr>
              <w:t>开展产品、系统集成等测试工作，包括测试计划、准备和执行，完成测试案例、脚本及数据的编制和准备，及时组织系统修补和必要的回归测试，形成测试报告；协助开展用户验收测试相关工作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922" w:type="dxa"/>
            <w:tcBorders>
              <w:top w:val="single" w:color="auto" w:sz="4" w:space="0"/>
              <w:left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top w:val="single" w:color="auto" w:sz="4" w:space="0"/>
              <w:left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投产运维</w:t>
            </w:r>
          </w:p>
        </w:tc>
        <w:tc>
          <w:tcPr>
            <w:tcW w:w="6584" w:type="dxa"/>
            <w:tcBorders>
              <w:top w:val="single" w:color="auto" w:sz="4" w:space="0"/>
              <w:left w:val="single" w:color="auto" w:sz="4" w:space="0"/>
              <w:right w:val="single" w:color="auto" w:sz="4" w:space="0"/>
            </w:tcBorders>
            <w:vAlign w:val="center"/>
          </w:tcPr>
          <w:p>
            <w:pPr>
              <w:widowControl/>
              <w:spacing w:line="360" w:lineRule="exact"/>
              <w:rPr>
                <w:rFonts w:hint="eastAsia" w:ascii="仿宋_GB2312" w:hAnsi="仿宋_GB2312" w:cs="仿宋_GB2312"/>
                <w:sz w:val="24"/>
              </w:rPr>
            </w:pPr>
            <w:r>
              <w:rPr>
                <w:rFonts w:hint="eastAsia" w:ascii="仿宋_GB2312" w:hAnsi="仿宋_GB2312" w:eastAsia="仿宋_GB2312" w:cs="仿宋_GB2312"/>
                <w:sz w:val="24"/>
              </w:rPr>
              <w:t>为系统投产演练和投产上线等提供必要支持，包括但不限于各类方案计划和流程策略的制定、现场人员支持及运维培训等工作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922" w:type="dxa"/>
            <w:tcBorders>
              <w:top w:val="single" w:color="auto" w:sz="4" w:space="0"/>
              <w:left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top w:val="single" w:color="auto" w:sz="4" w:space="0"/>
              <w:left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应用运维</w:t>
            </w:r>
          </w:p>
        </w:tc>
        <w:tc>
          <w:tcPr>
            <w:tcW w:w="6584" w:type="dxa"/>
            <w:tcBorders>
              <w:top w:val="single" w:color="auto" w:sz="4" w:space="0"/>
              <w:left w:val="single" w:color="auto" w:sz="4" w:space="0"/>
              <w:right w:val="single" w:color="auto" w:sz="4" w:space="0"/>
            </w:tcBorders>
            <w:vAlign w:val="center"/>
          </w:tcPr>
          <w:p>
            <w:pPr>
              <w:widowControl/>
              <w:spacing w:line="360" w:lineRule="exact"/>
              <w:rPr>
                <w:rFonts w:hint="eastAsia" w:ascii="仿宋_GB2312" w:hAnsi="仿宋_GB2312" w:eastAsia="仿宋_GB2312" w:cs="仿宋_GB2312"/>
                <w:sz w:val="24"/>
              </w:rPr>
            </w:pPr>
            <w:r>
              <w:rPr>
                <w:rFonts w:hint="eastAsia" w:ascii="仿宋_GB2312" w:hAnsi="仿宋_GB2312" w:eastAsia="仿宋_GB2312" w:cs="仿宋_GB2312"/>
                <w:sz w:val="24"/>
              </w:rPr>
              <w:t>在本项目投产后至合同周期结束前，安排人员负责本项目开发、改造功能的日常应用二级运维工作。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922" w:type="dxa"/>
            <w:tcBorders>
              <w:top w:val="single" w:color="auto" w:sz="4" w:space="0"/>
              <w:left w:val="single" w:color="auto" w:sz="4" w:space="0"/>
              <w:right w:val="single" w:color="auto" w:sz="4" w:space="0"/>
            </w:tcBorders>
            <w:vAlign w:val="center"/>
          </w:tcPr>
          <w:p>
            <w:pPr>
              <w:numPr>
                <w:ilvl w:val="0"/>
                <w:numId w:val="1"/>
              </w:numPr>
              <w:tabs>
                <w:tab w:val="clear" w:pos="0"/>
              </w:tabs>
              <w:spacing w:line="360" w:lineRule="exact"/>
              <w:jc w:val="center"/>
              <w:rPr>
                <w:rFonts w:eastAsia="仿宋_GB2312"/>
                <w:sz w:val="24"/>
              </w:rPr>
            </w:pPr>
          </w:p>
        </w:tc>
        <w:tc>
          <w:tcPr>
            <w:tcW w:w="1548" w:type="dxa"/>
            <w:tcBorders>
              <w:top w:val="single" w:color="auto" w:sz="4" w:space="0"/>
              <w:left w:val="single" w:color="auto" w:sz="4" w:space="0"/>
              <w:right w:val="single" w:color="auto" w:sz="4" w:space="0"/>
            </w:tcBorders>
            <w:vAlign w:val="center"/>
          </w:tcPr>
          <w:p>
            <w:pPr>
              <w:widowControl/>
              <w:spacing w:line="360" w:lineRule="exact"/>
              <w:jc w:val="center"/>
              <w:rPr>
                <w:rFonts w:hint="eastAsia" w:ascii="仿宋_GB2312" w:hAnsi="仿宋_GB2312" w:eastAsia="仿宋_GB2312" w:cs="仿宋_GB2312"/>
                <w:sz w:val="24"/>
              </w:rPr>
            </w:pPr>
            <w:r>
              <w:rPr>
                <w:rFonts w:hint="eastAsia" w:ascii="仿宋_GB2312" w:hAnsi="仿宋_GB2312" w:eastAsia="仿宋_GB2312" w:cs="仿宋_GB2312"/>
                <w:sz w:val="24"/>
              </w:rPr>
              <w:t>培训及知识转移</w:t>
            </w:r>
          </w:p>
        </w:tc>
        <w:tc>
          <w:tcPr>
            <w:tcW w:w="6584" w:type="dxa"/>
            <w:tcBorders>
              <w:top w:val="single" w:color="auto" w:sz="4" w:space="0"/>
              <w:left w:val="single" w:color="auto" w:sz="4" w:space="0"/>
              <w:right w:val="single" w:color="auto" w:sz="4" w:space="0"/>
            </w:tcBorders>
            <w:vAlign w:val="center"/>
          </w:tcPr>
          <w:p>
            <w:pPr>
              <w:widowControl/>
              <w:spacing w:line="360" w:lineRule="exact"/>
            </w:pPr>
            <w:r>
              <w:rPr>
                <w:rFonts w:hint="eastAsia" w:ascii="仿宋_GB2312" w:hAnsi="仿宋_GB2312" w:eastAsia="仿宋_GB2312" w:cs="仿宋_GB2312"/>
                <w:sz w:val="24"/>
              </w:rPr>
              <w:t>通过必要培训使</w:t>
            </w:r>
            <w:r>
              <w:rPr>
                <w:rFonts w:hint="eastAsia" w:ascii="仿宋_GB2312" w:hAnsi="仿宋_GB2312" w:eastAsia="仿宋_GB2312" w:cs="仿宋_GB2312"/>
                <w:sz w:val="24"/>
                <w:lang w:eastAsia="zh-CN"/>
              </w:rPr>
              <w:t>采购人</w:t>
            </w:r>
            <w:r>
              <w:rPr>
                <w:rFonts w:hint="eastAsia" w:ascii="仿宋_GB2312" w:hAnsi="仿宋_GB2312" w:eastAsia="仿宋_GB2312" w:cs="仿宋_GB2312"/>
                <w:sz w:val="24"/>
              </w:rPr>
              <w:t>相关人员，以及</w:t>
            </w:r>
            <w:r>
              <w:rPr>
                <w:rFonts w:hint="eastAsia" w:ascii="仿宋_GB2312" w:hAnsi="仿宋_GB2312" w:eastAsia="仿宋_GB2312" w:cs="仿宋_GB2312"/>
                <w:sz w:val="24"/>
                <w:lang w:eastAsia="zh-CN"/>
              </w:rPr>
              <w:t>采购人</w:t>
            </w:r>
            <w:r>
              <w:rPr>
                <w:rFonts w:hint="eastAsia" w:ascii="仿宋_GB2312" w:hAnsi="仿宋_GB2312" w:eastAsia="仿宋_GB2312" w:cs="仿宋_GB2312"/>
                <w:sz w:val="24"/>
              </w:rPr>
              <w:t>指定的人员</w:t>
            </w:r>
            <w:r>
              <w:rPr>
                <w:rFonts w:hint="eastAsia" w:ascii="仿宋_GB2312" w:hAnsi="仿宋_GB2312" w:eastAsia="仿宋_GB2312" w:cs="仿宋_GB2312"/>
                <w:sz w:val="24"/>
                <w:szCs w:val="22"/>
              </w:rPr>
              <w:t>（包括第三方人员）</w:t>
            </w:r>
            <w:r>
              <w:rPr>
                <w:rFonts w:hint="eastAsia" w:ascii="仿宋_GB2312" w:hAnsi="仿宋_GB2312" w:eastAsia="仿宋_GB2312" w:cs="仿宋_GB2312"/>
                <w:sz w:val="24"/>
              </w:rPr>
              <w:t>，熟悉系统内容和功能，以及使用权限划分与操作方式，包括系统架构、部署运维、参数配置等内容；提供完备的培训材料</w:t>
            </w:r>
            <w:r>
              <w:rPr>
                <w:rFonts w:hint="eastAsia" w:ascii="仿宋_GB2312" w:hAnsi="仿宋_GB2312" w:eastAsia="仿宋_GB2312" w:cs="仿宋_GB2312"/>
                <w:sz w:val="24"/>
                <w:szCs w:val="22"/>
              </w:rPr>
              <w:t>；掌握本项目新客户化开发部分功能的二次开发能力</w:t>
            </w:r>
          </w:p>
        </w:tc>
      </w:tr>
    </w:tbl>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rPr>
      </w:pPr>
      <w:r>
        <w:rPr>
          <w:rFonts w:hint="eastAsia" w:ascii="仿宋" w:hAnsi="仿宋" w:eastAsia="仿宋" w:cs="仿宋"/>
          <w:b/>
          <w:bCs/>
          <w:sz w:val="24"/>
          <w:szCs w:val="24"/>
        </w:rPr>
        <w:t>三、业务要求</w:t>
      </w:r>
      <w:bookmarkEnd w:id="49"/>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根据基金（包括进银基金、新型政策性金融工具）业务需求书（见附件），对基金业务全流程相关系统进行功能改造，包括客户信息管理、评级授信、业务审批、贷款投放、账务核算、投后管理、数据报送等全流程业务涉及的系统，实现采购人基金业务的全流程系统操作，解决基金业务无系统支持问题，提高采购人对基金投放管理和风控管理能力。</w:t>
      </w: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rPr>
      </w:pPr>
      <w:bookmarkStart w:id="50" w:name="_Toc32236"/>
      <w:r>
        <w:rPr>
          <w:rFonts w:hint="eastAsia" w:ascii="仿宋" w:hAnsi="仿宋" w:eastAsia="仿宋" w:cs="仿宋"/>
          <w:b/>
          <w:bCs/>
          <w:sz w:val="24"/>
          <w:szCs w:val="24"/>
          <w:lang w:val="en-US" w:eastAsia="zh-CN"/>
        </w:rPr>
        <w:t>四、</w:t>
      </w:r>
      <w:r>
        <w:rPr>
          <w:rFonts w:hint="eastAsia" w:ascii="仿宋" w:hAnsi="仿宋" w:eastAsia="仿宋" w:cs="仿宋"/>
          <w:b/>
          <w:bCs/>
          <w:sz w:val="24"/>
          <w:szCs w:val="24"/>
        </w:rPr>
        <w:t>技术要求</w:t>
      </w:r>
      <w:bookmarkEnd w:id="50"/>
    </w:p>
    <w:p>
      <w:pPr>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保持现有系统整体架构和稳定运行的基础上，对需求进行合理架构初分，按照需求的关联依赖情况，科学设计系统功能改造方案，确定实施计划安排，确保系统功能切分清晰，底层逻辑准确，业务流程顺畅。另外，本项目为在当前系统按照“双法人”模式做差异化改造，要确保项目投产后，对现有银行实体下信贷业务流程、账务核算等系统功能无影响。同时，要详细分析需求依赖关系，做好版本基线管理，避免同期实施中需求如核心系统信创、信贷系统信创、授信改革、香港分行筹建等项目交叉影响。</w:t>
      </w: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eastAsia="zh-CN"/>
        </w:rPr>
      </w:pPr>
      <w:bookmarkStart w:id="51" w:name="_Toc22237"/>
      <w:r>
        <w:rPr>
          <w:rFonts w:hint="eastAsia" w:ascii="仿宋" w:hAnsi="仿宋" w:eastAsia="仿宋" w:cs="仿宋"/>
          <w:b/>
          <w:bCs/>
          <w:sz w:val="24"/>
          <w:szCs w:val="24"/>
        </w:rPr>
        <w:t>五、</w:t>
      </w:r>
      <w:r>
        <w:rPr>
          <w:rFonts w:hint="eastAsia" w:ascii="仿宋" w:hAnsi="仿宋" w:eastAsia="仿宋" w:cs="仿宋"/>
          <w:b/>
          <w:bCs/>
          <w:sz w:val="24"/>
          <w:szCs w:val="24"/>
          <w:lang w:val="en-US"/>
        </w:rPr>
        <w:t>服务</w:t>
      </w:r>
      <w:r>
        <w:rPr>
          <w:rFonts w:hint="eastAsia" w:ascii="仿宋" w:hAnsi="仿宋" w:eastAsia="仿宋" w:cs="仿宋"/>
          <w:b/>
          <w:bCs/>
          <w:sz w:val="24"/>
          <w:szCs w:val="24"/>
        </w:rPr>
        <w:t>要求</w:t>
      </w:r>
      <w:bookmarkEnd w:id="51"/>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rPr>
      </w:pPr>
      <w:r>
        <w:rPr>
          <w:rFonts w:hint="eastAsia" w:ascii="仿宋" w:hAnsi="仿宋" w:eastAsia="仿宋" w:cs="仿宋"/>
          <w:b/>
          <w:bCs/>
          <w:sz w:val="24"/>
          <w:szCs w:val="24"/>
          <w:lang w:eastAsia="zh-CN"/>
        </w:rPr>
        <w:t>（</w:t>
      </w:r>
      <w:r>
        <w:rPr>
          <w:rFonts w:hint="eastAsia" w:ascii="仿宋" w:hAnsi="仿宋" w:eastAsia="仿宋" w:cs="仿宋"/>
          <w:b/>
          <w:bCs/>
          <w:sz w:val="24"/>
          <w:szCs w:val="24"/>
          <w:lang w:val="en-US" w:eastAsia="zh-CN"/>
        </w:rPr>
        <w:t>一</w:t>
      </w:r>
      <w:r>
        <w:rPr>
          <w:rFonts w:hint="eastAsia" w:ascii="仿宋" w:hAnsi="仿宋" w:eastAsia="仿宋" w:cs="仿宋"/>
          <w:b/>
          <w:bCs/>
          <w:sz w:val="24"/>
          <w:szCs w:val="24"/>
          <w:lang w:eastAsia="zh-CN"/>
        </w:rPr>
        <w:t>）</w:t>
      </w:r>
      <w:r>
        <w:rPr>
          <w:rFonts w:hint="eastAsia" w:ascii="仿宋" w:hAnsi="仿宋" w:eastAsia="仿宋" w:cs="仿宋"/>
          <w:b/>
          <w:bCs/>
          <w:sz w:val="24"/>
          <w:szCs w:val="24"/>
          <w:lang w:val="en-US" w:eastAsia="zh-CN"/>
        </w:rPr>
        <w:t>服务要求</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1.总体要求</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供应商应向</w:t>
      </w:r>
      <w:r>
        <w:rPr>
          <w:rFonts w:hint="eastAsia" w:ascii="仿宋" w:hAnsi="仿宋" w:eastAsia="仿宋" w:cs="仿宋"/>
          <w:sz w:val="24"/>
          <w:szCs w:val="24"/>
          <w:lang w:eastAsia="zh-CN"/>
        </w:rPr>
        <w:t>采购人</w:t>
      </w:r>
      <w:r>
        <w:rPr>
          <w:rFonts w:hint="eastAsia" w:ascii="仿宋" w:hAnsi="仿宋" w:eastAsia="仿宋" w:cs="仿宋"/>
          <w:sz w:val="24"/>
          <w:szCs w:val="24"/>
        </w:rPr>
        <w:t>提供客户化软件及项目涉及的已有系统中客户化部分的目标程序及全部源代码，或为实现项目需求改造员工渠道整合平台等系统，需提供产品软件的目标程序及加密后的全部源代码，且不影响</w:t>
      </w:r>
      <w:r>
        <w:rPr>
          <w:rFonts w:hint="eastAsia" w:ascii="仿宋" w:hAnsi="仿宋" w:eastAsia="仿宋" w:cs="仿宋"/>
          <w:sz w:val="24"/>
          <w:szCs w:val="24"/>
          <w:lang w:eastAsia="zh-CN"/>
        </w:rPr>
        <w:t>采购人</w:t>
      </w:r>
      <w:r>
        <w:rPr>
          <w:rFonts w:hint="eastAsia" w:ascii="仿宋" w:hAnsi="仿宋" w:eastAsia="仿宋" w:cs="仿宋"/>
          <w:sz w:val="24"/>
          <w:szCs w:val="24"/>
        </w:rPr>
        <w:t>应用的二次开发。</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保证能够满足项目实施全生命周期中对开发、测试的要求，并支持通过开发实现对未来业务和技术功能的扩展。</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为项目配备具有相关资质、技能和经验的技术服务人员，提供所需的信息技术服务。在人员供给方面，应高效及时提供满足</w:t>
      </w:r>
      <w:r>
        <w:rPr>
          <w:rFonts w:hint="eastAsia" w:ascii="仿宋" w:hAnsi="仿宋" w:eastAsia="仿宋" w:cs="仿宋"/>
          <w:sz w:val="24"/>
          <w:szCs w:val="24"/>
          <w:lang w:eastAsia="zh-CN"/>
        </w:rPr>
        <w:t>采购人</w:t>
      </w:r>
      <w:r>
        <w:rPr>
          <w:rFonts w:hint="eastAsia" w:ascii="仿宋" w:hAnsi="仿宋" w:eastAsia="仿宋" w:cs="仿宋"/>
          <w:sz w:val="24"/>
          <w:szCs w:val="24"/>
        </w:rPr>
        <w:t>要求的高质量人力资源，并且公司应该具备此类人力资源的储备，保证满足</w:t>
      </w:r>
      <w:r>
        <w:rPr>
          <w:rFonts w:hint="eastAsia" w:ascii="仿宋" w:hAnsi="仿宋" w:eastAsia="仿宋" w:cs="仿宋"/>
          <w:sz w:val="24"/>
          <w:szCs w:val="24"/>
          <w:lang w:eastAsia="zh-CN"/>
        </w:rPr>
        <w:t>采购人</w:t>
      </w:r>
      <w:r>
        <w:rPr>
          <w:rFonts w:hint="eastAsia" w:ascii="仿宋" w:hAnsi="仿宋" w:eastAsia="仿宋" w:cs="仿宋"/>
          <w:sz w:val="24"/>
          <w:szCs w:val="24"/>
        </w:rPr>
        <w:t>业务需求的开发质量及时间要求。在人员稳定性方面，应有效保障服务队伍的稳定性，以确保服务质量。在人员培训方面，应定期对服务人员进行内部培训，以使人员不断补充提高服务技能。</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供应商通过电话、电子邮件、传真等可能必要方式向</w:t>
      </w:r>
      <w:r>
        <w:rPr>
          <w:rFonts w:hint="eastAsia" w:ascii="仿宋" w:hAnsi="仿宋" w:eastAsia="仿宋" w:cs="仿宋"/>
          <w:sz w:val="24"/>
          <w:szCs w:val="24"/>
          <w:lang w:eastAsia="zh-CN"/>
        </w:rPr>
        <w:t>采购人</w:t>
      </w:r>
      <w:r>
        <w:rPr>
          <w:rFonts w:hint="eastAsia" w:ascii="仿宋" w:hAnsi="仿宋" w:eastAsia="仿宋" w:cs="仿宋"/>
          <w:sz w:val="24"/>
          <w:szCs w:val="24"/>
        </w:rPr>
        <w:t>提供远程技术支持，及时响应</w:t>
      </w:r>
      <w:r>
        <w:rPr>
          <w:rFonts w:hint="eastAsia" w:ascii="仿宋" w:hAnsi="仿宋" w:eastAsia="仿宋" w:cs="仿宋"/>
          <w:sz w:val="24"/>
          <w:szCs w:val="24"/>
          <w:lang w:eastAsia="zh-CN"/>
        </w:rPr>
        <w:t>采购人</w:t>
      </w:r>
      <w:r>
        <w:rPr>
          <w:rFonts w:hint="eastAsia" w:ascii="仿宋" w:hAnsi="仿宋" w:eastAsia="仿宋" w:cs="仿宋"/>
          <w:sz w:val="24"/>
          <w:szCs w:val="24"/>
        </w:rPr>
        <w:t>服务请求，必要时协商提供人员现场服务支持。</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2.服务指标</w:t>
      </w:r>
    </w:p>
    <w:p>
      <w:pPr>
        <w:pStyle w:val="7"/>
        <w:numPr>
          <w:ilvl w:val="0"/>
          <w:numId w:val="0"/>
        </w:numPr>
        <w:adjustRightIn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服务内容及标准如下：</w:t>
      </w:r>
    </w:p>
    <w:tbl>
      <w:tblPr>
        <w:tblStyle w:val="13"/>
        <w:tblW w:w="9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
        <w:gridCol w:w="1428"/>
        <w:gridCol w:w="6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16" w:type="dxa"/>
          </w:tcPr>
          <w:p>
            <w:pPr>
              <w:jc w:val="center"/>
              <w:rPr>
                <w:rFonts w:hint="eastAsia" w:ascii="黑体" w:hAnsi="黑体" w:eastAsia="黑体" w:cs="黑体"/>
                <w:sz w:val="24"/>
                <w:szCs w:val="22"/>
              </w:rPr>
            </w:pPr>
            <w:r>
              <w:rPr>
                <w:rFonts w:hint="eastAsia" w:ascii="黑体" w:hAnsi="黑体" w:eastAsia="黑体" w:cs="黑体"/>
                <w:sz w:val="24"/>
                <w:szCs w:val="22"/>
              </w:rPr>
              <w:t>序号</w:t>
            </w:r>
          </w:p>
        </w:tc>
        <w:tc>
          <w:tcPr>
            <w:tcW w:w="1428" w:type="dxa"/>
          </w:tcPr>
          <w:p>
            <w:pPr>
              <w:jc w:val="center"/>
              <w:rPr>
                <w:rFonts w:hint="eastAsia" w:ascii="黑体" w:hAnsi="黑体" w:eastAsia="黑体" w:cs="黑体"/>
                <w:sz w:val="24"/>
                <w:szCs w:val="22"/>
              </w:rPr>
            </w:pPr>
            <w:r>
              <w:rPr>
                <w:rFonts w:hint="eastAsia" w:ascii="黑体" w:hAnsi="黑体" w:eastAsia="黑体" w:cs="黑体"/>
                <w:sz w:val="24"/>
                <w:szCs w:val="22"/>
              </w:rPr>
              <w:t>服务要求项目</w:t>
            </w:r>
          </w:p>
        </w:tc>
        <w:tc>
          <w:tcPr>
            <w:tcW w:w="6914" w:type="dxa"/>
            <w:vAlign w:val="center"/>
          </w:tcPr>
          <w:p>
            <w:pPr>
              <w:jc w:val="center"/>
              <w:rPr>
                <w:rFonts w:hint="eastAsia" w:ascii="黑体" w:hAnsi="黑体" w:eastAsia="黑体" w:cs="黑体"/>
                <w:sz w:val="24"/>
                <w:szCs w:val="22"/>
              </w:rPr>
            </w:pPr>
            <w:r>
              <w:rPr>
                <w:rFonts w:hint="eastAsia" w:ascii="黑体" w:hAnsi="黑体" w:eastAsia="黑体" w:cs="黑体"/>
                <w:sz w:val="24"/>
                <w:szCs w:val="22"/>
              </w:rPr>
              <w:t>服务要求标准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916"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1</w:t>
            </w:r>
          </w:p>
        </w:tc>
        <w:tc>
          <w:tcPr>
            <w:tcW w:w="1428"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产品要求</w:t>
            </w:r>
          </w:p>
        </w:tc>
        <w:tc>
          <w:tcPr>
            <w:tcW w:w="6914" w:type="dxa"/>
          </w:tcPr>
          <w:p>
            <w:pPr>
              <w:spacing w:line="320" w:lineRule="exact"/>
              <w:ind w:firstLine="480" w:firstLineChars="200"/>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要求乙方必须对本项目涉及的产品拥有完全的知识产权；使用非自身产品的，必须有原厂商对该产品的授权经销商或者有原厂商对本项目的书面授权。（第三方授权有关信息应明确告知</w:t>
            </w:r>
            <w:r>
              <w:rPr>
                <w:rFonts w:hint="eastAsia" w:ascii="仿宋_GB2312" w:hAnsi="仿宋_GB2312" w:eastAsia="仿宋_GB2312" w:cs="仿宋_GB2312"/>
                <w:color w:val="auto"/>
                <w:sz w:val="22"/>
                <w:szCs w:val="22"/>
                <w:lang w:val="en-US" w:eastAsia="zh-CN"/>
              </w:rPr>
              <w:t>采购人</w:t>
            </w:r>
            <w:r>
              <w:rPr>
                <w:rFonts w:hint="eastAsia" w:ascii="仿宋_GB2312" w:hAnsi="仿宋_GB2312" w:eastAsia="仿宋_GB2312" w:cs="仿宋_GB2312"/>
                <w:sz w:val="24"/>
                <w:szCs w:val="22"/>
              </w:rPr>
              <w:t>，包括被授权产品名称，授权方式，授权期限、授权费等）。向</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提供客户化软件及核心产品系统中客户化部分的目标程序及全部源代码，以及核心产品软件的目标程序及全部源代码。提供方式由双方协商确定。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916"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2</w:t>
            </w:r>
          </w:p>
        </w:tc>
        <w:tc>
          <w:tcPr>
            <w:tcW w:w="1428"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故障处理</w:t>
            </w:r>
          </w:p>
        </w:tc>
        <w:tc>
          <w:tcPr>
            <w:tcW w:w="6914" w:type="dxa"/>
          </w:tcPr>
          <w:p>
            <w:pPr>
              <w:pStyle w:val="2"/>
              <w:widowControl/>
              <w:spacing w:after="0"/>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供应商通过标准化的操作流程进行软件的故障诊断和排除；配合其他条线进行故障处理。</w:t>
            </w:r>
          </w:p>
          <w:p>
            <w:pPr>
              <w:pStyle w:val="2"/>
              <w:widowControl/>
              <w:spacing w:after="0"/>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响应时限：（&lt;15）分钟</w:t>
            </w:r>
          </w:p>
          <w:p>
            <w:pPr>
              <w:pStyle w:val="2"/>
              <w:widowControl/>
              <w:spacing w:after="0"/>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到达现场时限：（&lt;2）小时</w:t>
            </w:r>
          </w:p>
          <w:p>
            <w:pPr>
              <w:pStyle w:val="2"/>
              <w:widowControl/>
              <w:spacing w:after="0"/>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解决问题时限：（&lt;4）小时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916"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3</w:t>
            </w:r>
          </w:p>
        </w:tc>
        <w:tc>
          <w:tcPr>
            <w:tcW w:w="1428"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总体要求</w:t>
            </w:r>
          </w:p>
        </w:tc>
        <w:tc>
          <w:tcPr>
            <w:tcW w:w="6914" w:type="dxa"/>
          </w:tcPr>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针对进出口银行业务特点阐述系统实施方法论，并结合方法论，描述完整、可行的系统整体技术方案、实施方案，包括但不限于项目管理、需求确认、系统设计、系统开发、系统测试、系统切换、系统推广等方案，以及试运行策略。</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要求完成项目实施、测试及系统投产等工作，并阐述系统的项目整体技术方案、实施方案、测试方案、系统投产方案，根据需要附相应模板。对于其中进出口银行有模板要求的交付件，应使用要求的模版进行编写。</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阐述项目实施的组织架构（其中应包含进出口银行人员），并描述实施预期的时间进度表，提供具有明确里程碑的项目实施计划。</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要求提供初步的验收测试计划以及充分的验收标准，并提供系统集成测试和投产测试的测试方案、测试案例和测试工具。</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厂商在本项目实施过程中，须服从进出口银行项目管理机构的管理。</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要求厂商提供本项目中所有交付物清单，包括但不限于项目文档、产品技术文档（包括平台/系统相关的接口和集成技术规范、设计规范等规范类文件，与整体技术方案一并纳入评审范围。如需外部专家参加评审的，乙方负责外部专家评审费用）、用户手册和系统管理手册。</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阐述系统故障应急预案，确保系统在突发状况后能够及时发现，补救，恢复。</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如有涉及第三方产品及服务，阐述相关产品及服务内容，报价及后期维护方式和费用。</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在技术方案评审阶段，提供软件物料清单，如涉及开源软件引入和使用的，应按照</w:t>
            </w:r>
            <w:r>
              <w:rPr>
                <w:rFonts w:hint="eastAsia" w:ascii="仿宋_GB2312" w:hAnsi="仿宋_GB2312" w:eastAsia="仿宋_GB2312" w:cs="仿宋_GB2312"/>
                <w:color w:val="auto"/>
                <w:sz w:val="22"/>
                <w:szCs w:val="22"/>
                <w:lang w:val="en-US" w:eastAsia="zh-CN"/>
              </w:rPr>
              <w:t>采购人</w:t>
            </w:r>
            <w:r>
              <w:rPr>
                <w:rFonts w:hint="eastAsia" w:ascii="仿宋_GB2312" w:hAnsi="仿宋_GB2312" w:eastAsia="仿宋_GB2312" w:cs="仿宋_GB2312"/>
                <w:sz w:val="24"/>
                <w:szCs w:val="22"/>
              </w:rPr>
              <w:t>要求开展引入评审和使用备案后方可使用。提供后续对开源软件的维护及升级支持，纳入维保范围。</w:t>
            </w:r>
          </w:p>
          <w:p>
            <w:pPr>
              <w:pStyle w:val="2"/>
              <w:spacing w:after="0" w:line="320" w:lineRule="exact"/>
              <w:ind w:left="0" w:leftChars="0" w:firstLine="480" w:firstLineChars="200"/>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项目所涉及系统的新建及升级改造应遵循</w:t>
            </w:r>
            <w:r>
              <w:rPr>
                <w:rFonts w:hint="eastAsia" w:ascii="仿宋_GB2312" w:hAnsi="仿宋_GB2312" w:eastAsia="仿宋_GB2312" w:cs="仿宋_GB2312"/>
                <w:color w:val="auto"/>
                <w:sz w:val="22"/>
                <w:szCs w:val="22"/>
                <w:lang w:val="en-US" w:eastAsia="zh-CN"/>
              </w:rPr>
              <w:t>采购人</w:t>
            </w:r>
            <w:r>
              <w:rPr>
                <w:rFonts w:hint="eastAsia" w:ascii="仿宋_GB2312" w:hAnsi="仿宋_GB2312" w:eastAsia="仿宋_GB2312" w:cs="仿宋_GB2312"/>
                <w:sz w:val="24"/>
                <w:szCs w:val="22"/>
              </w:rPr>
              <w:t>企业级架构原则进行系统设计，制定系统架构方案，并综合考虑</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国产化替代工作情况。包括但不限于按照</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联机、批量、消息等接口标准与行内系统进行交互；可对接</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统一的用户认证系统，平台内部应用实现单点登录功能；Web页面应基于chrome内核浏览器进行开发等。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916" w:type="dxa"/>
            <w:vAlign w:val="center"/>
          </w:tcPr>
          <w:p>
            <w:pPr>
              <w:jc w:val="center"/>
              <w:rPr>
                <w:rFonts w:hint="eastAsia" w:ascii="仿宋_GB2312" w:hAnsi="仿宋_GB2312" w:eastAsia="仿宋_GB2312" w:cs="仿宋_GB2312"/>
                <w:sz w:val="24"/>
                <w:szCs w:val="22"/>
              </w:rPr>
            </w:pPr>
          </w:p>
        </w:tc>
        <w:tc>
          <w:tcPr>
            <w:tcW w:w="1428" w:type="dxa"/>
            <w:vAlign w:val="center"/>
          </w:tcPr>
          <w:p>
            <w:pPr>
              <w:pStyle w:val="2"/>
              <w:widowControl/>
              <w:spacing w:line="320" w:lineRule="exact"/>
              <w:ind w:left="0" w:leftChars="0" w:firstLine="0" w:firstLineChars="0"/>
              <w:jc w:val="center"/>
              <w:rPr>
                <w:rFonts w:hint="eastAsia" w:ascii="仿宋_GB2312" w:hAnsi="仿宋_GB2312" w:eastAsia="仿宋_GB2312" w:cs="仿宋_GB2312"/>
                <w:sz w:val="24"/>
                <w:szCs w:val="22"/>
                <w:lang w:val="en-US" w:eastAsia="zh-CN"/>
              </w:rPr>
            </w:pPr>
            <w:r>
              <w:rPr>
                <w:rFonts w:hint="eastAsia" w:ascii="仿宋_GB2312" w:hAnsi="仿宋_GB2312" w:eastAsia="仿宋_GB2312" w:cs="仿宋_GB2312"/>
                <w:sz w:val="24"/>
                <w:szCs w:val="22"/>
              </w:rPr>
              <w:t>应用架构</w:t>
            </w:r>
            <w:r>
              <w:rPr>
                <w:rFonts w:hint="eastAsia" w:ascii="仿宋_GB2312" w:hAnsi="仿宋_GB2312" w:eastAsia="仿宋_GB2312" w:cs="仿宋_GB2312"/>
                <w:sz w:val="24"/>
                <w:szCs w:val="22"/>
                <w:lang w:val="en-US" w:eastAsia="zh-CN"/>
              </w:rPr>
              <w:t>要求</w:t>
            </w:r>
          </w:p>
        </w:tc>
        <w:tc>
          <w:tcPr>
            <w:tcW w:w="6914" w:type="dxa"/>
          </w:tcPr>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（1）遵循</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企业级架构原则进行系统设计，制定系统架构方案。</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（2）融入</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企业级架构，遵循渠道、服务、产品分离的架构原则。</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（3）遵循</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服务集成原则，服务需通过</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统一的应用调度平台进行注册与发布。</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（4）遵循</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外联服务设计原则及接入模式。</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（5）按照</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联机、批量、文件传输、事件消息等接口和相关报文标准与行内相关系统进行交互。</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（6）遵循</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全局事件跟踪号编码规范。</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（7）使用</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公共组件进行机构与用户信息管理，融入</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统一的用户权限控制机制。</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（8）对接</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用户认证等系统按照统一标准实现单点登陆等功能。</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（9）采用高内聚、低耦合原则进行模块设计。</w:t>
            </w:r>
          </w:p>
          <w:p>
            <w:pPr>
              <w:pStyle w:val="2"/>
              <w:keepNext w:val="0"/>
              <w:keepLines w:val="0"/>
              <w:pageBreakBefore w:val="0"/>
              <w:widowControl/>
              <w:kinsoku/>
              <w:wordWrap/>
              <w:overflowPunct/>
              <w:topLinePunct w:val="0"/>
              <w:autoSpaceDE/>
              <w:autoSpaceDN/>
              <w:bidi w:val="0"/>
              <w:adjustRightInd/>
              <w:snapToGrid/>
              <w:spacing w:after="0" w:line="320" w:lineRule="exact"/>
              <w:ind w:left="0" w:leftChars="0" w:firstLine="480" w:firstLineChars="200"/>
              <w:jc w:val="left"/>
              <w:textAlignment w:val="auto"/>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（10）按照</w:t>
            </w:r>
            <w:r>
              <w:rPr>
                <w:rFonts w:hint="eastAsia" w:ascii="仿宋_GB2312" w:hAnsi="仿宋_GB2312" w:eastAsia="仿宋_GB2312" w:cs="仿宋_GB2312"/>
                <w:sz w:val="24"/>
                <w:szCs w:val="22"/>
                <w:lang w:eastAsia="zh-CN"/>
              </w:rPr>
              <w:t>采购人</w:t>
            </w:r>
            <w:r>
              <w:rPr>
                <w:rFonts w:hint="eastAsia" w:ascii="仿宋_GB2312" w:hAnsi="仿宋_GB2312" w:eastAsia="仿宋_GB2312" w:cs="仿宋_GB2312"/>
                <w:sz w:val="24"/>
                <w:szCs w:val="22"/>
              </w:rPr>
              <w:t>开源软件管理的要求引入开源软件。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916"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4</w:t>
            </w:r>
          </w:p>
        </w:tc>
        <w:tc>
          <w:tcPr>
            <w:tcW w:w="1428"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项目实施要求</w:t>
            </w:r>
          </w:p>
        </w:tc>
        <w:tc>
          <w:tcPr>
            <w:tcW w:w="6914" w:type="dxa"/>
          </w:tcPr>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以下列出了本项目实施过程中重要的实施任务，乙方应承诺完成所有实施任务，并遵守其中相关约定。相关要求参照项目工作说明书。</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（一）项目管理。</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负责制定项目计划，并按照进出口银行的要求进行必要的调整。监督和控制项目进度。</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负责管理安排项目资源。</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负责配合管理项目的各项任务执行、人力资源、相互工作配合与交付承诺。</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负责配合管理项目范围和需求变更，并协调变更要求的签署。</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负责实施项目配置和交付管理以及项目质量管理。</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负责项目问题管理和项目风险管理。</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负责与进出口银行进行沟通并按照要求进行工作报告。</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（二）业务功能分析和设计。</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负责对本项目需求梳理细化。</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负责业务需求差异分析和评估。</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负责业务功能分析和制定。</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负责编写需求规格说明书。</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负责提出与周边系统的集成解决方案。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负责系统配置设计、界面设计、扩展功能开发设计、数据转换设计等。</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（三）技术架构分析和设计。</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负责制定技术架构方案。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负责制定运维管理方案。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负责分析接口定义并提出技术实现方案。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负责评估与进出口银行总体技术架构的差异，并编写技术规格说明书。</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负责提出开发与测试环境的构建方案。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负责提出生产环境的构建方案。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负责编写技术设计说明书。</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（四）业务功能构建。</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负责提出参数配置模版及配置方案。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负责进行客户化部分的详细设计，并编写详细设计说明书。</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负责接口开发、扩展功能开发、数据转换开发。</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负责计划、准备与执行单元测试。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负责确认单元测试结果并提交单元测试报告。</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（五）技术架构构建。</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负责测试环境的构建与确认。</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负责就测试环境管理流程和制度与进出口银行达成一致。</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负责进行测试环境下的应用系统的安装和配置。</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（六）产品测试和性能测试。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负责产品测试的计划、准备和执行。</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负责系统修补，并完成产品测试报告。</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负责性能测试的计划、准备和执行。</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负责系统调优和进一步的性能测试，并负责完成性能测试报告。</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（七）系统集成测试。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负责提出系统集成测试计划和方案。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负责完成系统集成测试案例、测试脚本以及相关的测试数据。</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负责在进出口银行统一管理下执行系统集成测试，进行系统修补和必要的回归测试。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负责完成相应的系统集成测试报告。</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（八）用户验收测试。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协助提出用户验收测试计划和方案。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协助准备用户验收测试案例、测试脚本和数据。</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协助执行用户验收测试。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负责系统修补。</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协助进行回归测试、协助完成用户验收测试报告。</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（九）投产和推广（包括投产、试运行、正式运行、最终验收）。</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根据需要负责制定上线演练计划和方案。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负责制定投产演练方案、运维测试方案，负责运维培训，配合行方完成投产演练和运维测试工作。</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在进出口银行统一管理下执行上线演练。</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负责制定投产上线范围、制定系统（数据、业务）投产上线计划。</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负责制定投产上线操作方案、流程和策略，并制定应急和恢复方案。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负责制定试运行方案、流程和策略，并制定应急和恢复方案。</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协助进出口银行进行推广文档编制。</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协助进出口银行完成投产上线。</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支持系统试运行工作。</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协助进出口银行完成系统最终验收。</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（十）第三方测试（如有）。</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负责准备测试对象的搭建及调试。</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负责按第三方测试要求准备测试数据。</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为第三方测试提供技术支持。</w:t>
            </w:r>
          </w:p>
          <w:p>
            <w:pPr>
              <w:pStyle w:val="2"/>
              <w:spacing w:after="0" w:line="320" w:lineRule="exact"/>
              <w:ind w:left="0" w:leftChars="0" w:firstLine="480" w:firstLineChars="200"/>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负责缺陷修复。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5</w:t>
            </w:r>
          </w:p>
        </w:tc>
        <w:tc>
          <w:tcPr>
            <w:tcW w:w="1428" w:type="dxa"/>
            <w:vAlign w:val="center"/>
          </w:tcPr>
          <w:p>
            <w:pPr>
              <w:jc w:val="center"/>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培训及知识转移要求</w:t>
            </w:r>
          </w:p>
        </w:tc>
        <w:tc>
          <w:tcPr>
            <w:tcW w:w="6914" w:type="dxa"/>
          </w:tcPr>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（一）培训对象：培训对象包括进出口银行的开发人员、系统运行维护管理人员，以及其他相关人员。</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（二）培训目标：通过培训，应使上述人员掌握系统提供的内容和功能，以及使用权限划分与操作方式。</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三）培训内容：乙方应具有知识和技术转移的意愿，并阐述详细的实际措施，以对项目实施阶段的参与者及项目最终的使用和运维团队进行全面、有效的知识转移。乙方需向进出口银行提供系统在配置、开发、安装、使用、监控和维护等方面的培训。乙方须详细列出各阶段培训的服务清单和培训费用，服务清单包括培训内容、授课方式、培训对象、时间计划安排和培训反馈处理等，对项目实施阶段的参与者及项目最终的使用和运维团队进行全面、有效的知识转移，确保进出口银行形成一支熟悉系统运用和维护的专家队伍。</w:t>
            </w:r>
          </w:p>
          <w:p>
            <w:pPr>
              <w:pStyle w:val="2"/>
              <w:widowControl/>
              <w:spacing w:after="0" w:line="320" w:lineRule="exact"/>
              <w:ind w:left="0" w:leftChars="0" w:firstLine="480" w:firstLineChars="200"/>
              <w:jc w:val="left"/>
              <w:rPr>
                <w:rFonts w:hint="eastAsia" w:ascii="仿宋_GB2312" w:hAnsi="仿宋_GB2312" w:eastAsia="仿宋_GB2312" w:cs="仿宋_GB2312"/>
                <w:sz w:val="24"/>
                <w:szCs w:val="22"/>
              </w:rPr>
            </w:pPr>
            <w:r>
              <w:rPr>
                <w:rFonts w:hint="eastAsia" w:ascii="仿宋_GB2312" w:hAnsi="仿宋_GB2312" w:eastAsia="仿宋_GB2312" w:cs="仿宋_GB2312"/>
                <w:sz w:val="24"/>
                <w:szCs w:val="22"/>
              </w:rPr>
              <w:t>（四）培训材料：乙方为所有被培训人员提供完备的文字资料（书面及电子版）和讲义（书面及电子版）等相关用品。</w:t>
            </w:r>
          </w:p>
        </w:tc>
      </w:tr>
    </w:tbl>
    <w:p>
      <w:pPr>
        <w:pStyle w:val="7"/>
        <w:numPr>
          <w:ilvl w:val="0"/>
          <w:numId w:val="0"/>
        </w:numPr>
        <w:adjustRightInd w:val="0"/>
        <w:spacing w:line="360" w:lineRule="auto"/>
        <w:rPr>
          <w:rFonts w:hint="eastAsia" w:ascii="仿宋" w:hAnsi="仿宋" w:eastAsia="仿宋" w:cs="仿宋"/>
          <w:sz w:val="24"/>
          <w:szCs w:val="24"/>
        </w:rPr>
      </w:pP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eastAsia="zh-CN"/>
        </w:rPr>
      </w:pPr>
      <w:r>
        <w:rPr>
          <w:rFonts w:hint="eastAsia" w:ascii="仿宋" w:hAnsi="仿宋" w:eastAsia="仿宋" w:cs="仿宋"/>
          <w:b/>
          <w:bCs/>
          <w:sz w:val="24"/>
          <w:szCs w:val="24"/>
          <w:lang w:eastAsia="zh-CN"/>
        </w:rPr>
        <w:t>（</w:t>
      </w:r>
      <w:r>
        <w:rPr>
          <w:rFonts w:hint="eastAsia" w:ascii="仿宋" w:hAnsi="仿宋" w:eastAsia="仿宋" w:cs="仿宋"/>
          <w:b/>
          <w:bCs/>
          <w:sz w:val="24"/>
          <w:szCs w:val="24"/>
          <w:lang w:val="en-US" w:eastAsia="zh-CN"/>
        </w:rPr>
        <w:t>二</w:t>
      </w:r>
      <w:r>
        <w:rPr>
          <w:rFonts w:hint="eastAsia" w:ascii="仿宋" w:hAnsi="仿宋" w:eastAsia="仿宋" w:cs="仿宋"/>
          <w:b/>
          <w:bCs/>
          <w:sz w:val="24"/>
          <w:szCs w:val="24"/>
          <w:lang w:eastAsia="zh-CN"/>
        </w:rPr>
        <w:t>）</w:t>
      </w:r>
      <w:r>
        <w:rPr>
          <w:rFonts w:hint="eastAsia" w:ascii="仿宋" w:hAnsi="仿宋" w:eastAsia="仿宋" w:cs="仿宋"/>
          <w:b/>
          <w:bCs/>
          <w:sz w:val="24"/>
          <w:szCs w:val="24"/>
          <w:lang w:val="en-US" w:eastAsia="zh-CN"/>
        </w:rPr>
        <w:t>主要交付物</w:t>
      </w:r>
    </w:p>
    <w:p>
      <w:pPr>
        <w:spacing w:line="360" w:lineRule="auto"/>
        <w:ind w:firstLine="480" w:firstLineChars="200"/>
        <w:rPr>
          <w:rFonts w:hint="eastAsia" w:ascii="仿宋" w:hAnsi="仿宋" w:eastAsia="仿宋" w:cs="仿宋"/>
          <w:sz w:val="24"/>
          <w:szCs w:val="24"/>
          <w:highlight w:val="none"/>
          <w:lang w:val="en-US"/>
        </w:rPr>
      </w:pPr>
      <w:r>
        <w:rPr>
          <w:rFonts w:hint="eastAsia" w:ascii="仿宋" w:hAnsi="仿宋" w:eastAsia="仿宋" w:cs="仿宋"/>
          <w:sz w:val="24"/>
          <w:szCs w:val="24"/>
          <w:highlight w:val="none"/>
          <w:lang w:val="en-US"/>
        </w:rPr>
        <w:t>在项目工作书中明确交付物类型、内容及交付形式，包含但不限于以下内容。</w:t>
      </w:r>
    </w:p>
    <w:tbl>
      <w:tblPr>
        <w:tblStyle w:val="13"/>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8"/>
        <w:gridCol w:w="7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99" w:type="pct"/>
            <w:shd w:val="clear" w:color="auto" w:fill="BEBEBE"/>
            <w:vAlign w:val="center"/>
          </w:tcPr>
          <w:p>
            <w:pPr>
              <w:jc w:val="center"/>
              <w:rPr>
                <w:rFonts w:hint="eastAsia" w:ascii="仿宋_GB2312" w:hAnsi="仿宋_GB2312" w:eastAsia="仿宋_GB2312" w:cs="仿宋_GB2312"/>
                <w:b/>
              </w:rPr>
            </w:pPr>
            <w:r>
              <w:rPr>
                <w:rFonts w:hint="eastAsia" w:ascii="仿宋_GB2312" w:hAnsi="仿宋_GB2312" w:eastAsia="仿宋_GB2312" w:cs="仿宋_GB2312"/>
                <w:b/>
              </w:rPr>
              <w:t>过程域</w:t>
            </w:r>
          </w:p>
        </w:tc>
        <w:tc>
          <w:tcPr>
            <w:tcW w:w="4000" w:type="pct"/>
            <w:shd w:val="clear" w:color="auto" w:fill="BEBEBE"/>
            <w:vAlign w:val="center"/>
          </w:tcPr>
          <w:p>
            <w:pPr>
              <w:jc w:val="center"/>
              <w:rPr>
                <w:rFonts w:hint="eastAsia" w:ascii="仿宋_GB2312" w:hAnsi="仿宋_GB2312" w:eastAsia="仿宋_GB2312" w:cs="仿宋_GB2312"/>
                <w:b/>
              </w:rPr>
            </w:pPr>
            <w:r>
              <w:rPr>
                <w:rFonts w:hint="eastAsia" w:ascii="仿宋_GB2312" w:hAnsi="仿宋_GB2312" w:eastAsia="仿宋_GB2312" w:cs="仿宋_GB2312"/>
                <w:b/>
              </w:rPr>
              <w:t>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项目管理</w:t>
            </w:r>
          </w:p>
        </w:tc>
        <w:tc>
          <w:tcPr>
            <w:tcW w:w="4000" w:type="pct"/>
            <w:vAlign w:val="center"/>
          </w:tcPr>
          <w:p>
            <w:pPr>
              <w:rPr>
                <w:rFonts w:hint="eastAsia" w:ascii="仿宋_GB2312" w:hAnsi="仿宋_GB2312" w:eastAsia="仿宋_GB2312" w:cs="仿宋_GB2312"/>
              </w:rPr>
            </w:pPr>
            <w:r>
              <w:rPr>
                <w:rFonts w:hint="eastAsia" w:ascii="仿宋_GB2312" w:hAnsi="仿宋_GB2312" w:eastAsia="仿宋_GB2312" w:cs="仿宋_GB2312"/>
              </w:rPr>
              <w:t>《项目详细实施计划》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vAlign w:val="center"/>
          </w:tcPr>
          <w:p>
            <w:pPr>
              <w:rPr>
                <w:rFonts w:hint="eastAsia" w:ascii="仿宋_GB2312" w:hAnsi="仿宋_GB2312" w:eastAsia="仿宋_GB2312" w:cs="仿宋_GB2312"/>
              </w:rPr>
            </w:pPr>
            <w:r>
              <w:rPr>
                <w:rFonts w:hint="eastAsia" w:ascii="仿宋_GB2312" w:hAnsi="仿宋_GB2312" w:eastAsia="仿宋_GB2312" w:cs="仿宋_GB2312"/>
              </w:rPr>
              <w:t>《项目质量审计报告》（如有）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vAlign w:val="center"/>
          </w:tcPr>
          <w:p>
            <w:pPr>
              <w:rPr>
                <w:rFonts w:hint="eastAsia" w:ascii="仿宋_GB2312" w:hAnsi="仿宋_GB2312" w:eastAsia="仿宋_GB2312" w:cs="仿宋_GB2312"/>
              </w:rPr>
            </w:pPr>
            <w:r>
              <w:rPr>
                <w:rFonts w:hint="eastAsia" w:ascii="仿宋_GB2312" w:hAnsi="仿宋_GB2312" w:eastAsia="仿宋_GB2312" w:cs="仿宋_GB2312"/>
              </w:rPr>
              <w:t>《关键人员简历》</w:t>
            </w:r>
            <w:r>
              <w:rPr>
                <w:rFonts w:hint="eastAsia" w:ascii="仿宋_GB2312" w:hAnsi="仿宋_GB2312" w:eastAsia="仿宋_GB2312" w:cs="仿宋_GB2312"/>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vAlign w:val="center"/>
          </w:tcPr>
          <w:p>
            <w:pPr>
              <w:rPr>
                <w:rFonts w:hint="eastAsia" w:ascii="仿宋_GB2312" w:hAnsi="仿宋_GB2312" w:eastAsia="仿宋_GB2312" w:cs="仿宋_GB2312"/>
              </w:rPr>
            </w:pPr>
            <w:r>
              <w:rPr>
                <w:rFonts w:hint="eastAsia" w:ascii="仿宋_GB2312" w:hAnsi="仿宋_GB2312" w:eastAsia="仿宋_GB2312" w:cs="仿宋_GB2312"/>
              </w:rPr>
              <w:t>《关键人员人力资源变动报告》（如有）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999" w:type="pct"/>
            <w:vMerge w:val="continue"/>
            <w:vAlign w:val="center"/>
          </w:tcPr>
          <w:p>
            <w:pPr>
              <w:rPr>
                <w:rFonts w:hint="eastAsia" w:ascii="仿宋_GB2312" w:hAnsi="仿宋_GB2312" w:eastAsia="仿宋_GB2312" w:cs="仿宋_GB2312"/>
              </w:rPr>
            </w:pPr>
          </w:p>
        </w:tc>
        <w:tc>
          <w:tcPr>
            <w:tcW w:w="4000" w:type="pct"/>
            <w:vAlign w:val="center"/>
          </w:tcPr>
          <w:p>
            <w:pPr>
              <w:rPr>
                <w:rFonts w:hint="eastAsia" w:ascii="仿宋_GB2312" w:hAnsi="仿宋_GB2312" w:eastAsia="仿宋_GB2312" w:cs="仿宋_GB2312"/>
              </w:rPr>
            </w:pPr>
            <w:r>
              <w:rPr>
                <w:rFonts w:hint="eastAsia" w:ascii="仿宋_GB2312" w:hAnsi="仿宋_GB2312" w:eastAsia="仿宋_GB2312" w:cs="仿宋_GB2312"/>
              </w:rPr>
              <w:t>项目状态报告：日常管理采用周报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Align w:val="center"/>
          </w:tcPr>
          <w:p>
            <w:pPr>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架构管理</w:t>
            </w:r>
          </w:p>
        </w:tc>
        <w:tc>
          <w:tcPr>
            <w:tcW w:w="4000" w:type="pct"/>
          </w:tcPr>
          <w:p>
            <w:pPr>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项目架构方案说明书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需求分析</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《功能需求规格说明书》</w:t>
            </w:r>
            <w:r>
              <w:rPr>
                <w:rFonts w:hint="eastAsia" w:ascii="仿宋_GB2312" w:hAnsi="仿宋_GB2312" w:eastAsia="仿宋_GB2312" w:cs="仿宋_GB2312"/>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《非功能需求规格说明书》（如有）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设计</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《概要设计说明书》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《详细设计说明书》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应用系统部署架构（如有）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基础软硬件配置清单（如有）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开发</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《单元测试案例》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《系统内集成测试案例》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《系统内集成测试报告》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测试</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《应用组装测试案例》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《应用组装测试报告》</w:t>
            </w:r>
            <w:r>
              <w:rPr>
                <w:rFonts w:hint="eastAsia" w:ascii="仿宋_GB2312" w:hAnsi="仿宋_GB2312" w:eastAsia="仿宋_GB2312" w:cs="仿宋_GB2312"/>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通过用户验收测试后的源代码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业务培训</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《培训讲义》（如有）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《用户操作手册》（如有）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Align w:val="center"/>
          </w:tcPr>
          <w:p>
            <w:pPr>
              <w:rPr>
                <w:rFonts w:hint="eastAsia" w:ascii="仿宋_GB2312" w:hAnsi="仿宋_GB2312" w:eastAsia="仿宋_GB2312" w:cs="仿宋_GB2312"/>
              </w:rPr>
            </w:pPr>
            <w:r>
              <w:rPr>
                <w:rFonts w:hint="eastAsia" w:ascii="仿宋_GB2312" w:hAnsi="仿宋_GB2312" w:eastAsia="仿宋_GB2312" w:cs="仿宋_GB2312"/>
              </w:rPr>
              <w:t>技术培训</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《培训讲义》（如有）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系统投产</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《投产任务跟踪表》（按版本）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《操作控制表》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待投产的应用程序版本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《应急预案》（如有）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《投产报告》（按版本）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《运维手册》、《日志报错代码表》、《批量手册》、《监控手册》、《知识库》（如有）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restart"/>
            <w:vAlign w:val="center"/>
          </w:tcPr>
          <w:p>
            <w:pPr>
              <w:rPr>
                <w:rFonts w:hint="eastAsia" w:ascii="仿宋_GB2312" w:hAnsi="仿宋_GB2312" w:eastAsia="仿宋_GB2312" w:cs="仿宋_GB2312"/>
              </w:rPr>
            </w:pPr>
            <w:r>
              <w:rPr>
                <w:rFonts w:hint="eastAsia" w:ascii="仿宋_GB2312" w:hAnsi="仿宋_GB2312" w:eastAsia="仿宋_GB2312" w:cs="仿宋_GB2312"/>
              </w:rPr>
              <w:t>系统应用维护</w:t>
            </w: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知识转移文档：《运维手册》（含《日志存储备份清理方案》等日常运维的必要件）、《日志报错代码表》、《批量手册》、《监控手册》（如有）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知识库（包含《上线运行问题报告和问题跟踪表》、《重大问题分析报告》（如有））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《维保期总结报告》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99" w:type="pct"/>
            <w:vMerge w:val="continue"/>
            <w:vAlign w:val="center"/>
          </w:tcPr>
          <w:p>
            <w:pPr>
              <w:rPr>
                <w:rFonts w:hint="eastAsia" w:ascii="仿宋_GB2312" w:hAnsi="仿宋_GB2312" w:eastAsia="仿宋_GB2312" w:cs="仿宋_GB2312"/>
              </w:rPr>
            </w:pPr>
          </w:p>
        </w:tc>
        <w:tc>
          <w:tcPr>
            <w:tcW w:w="4000" w:type="pct"/>
          </w:tcPr>
          <w:p>
            <w:pPr>
              <w:rPr>
                <w:rFonts w:hint="eastAsia" w:ascii="仿宋_GB2312" w:hAnsi="仿宋_GB2312" w:eastAsia="仿宋_GB2312" w:cs="仿宋_GB2312"/>
              </w:rPr>
            </w:pPr>
            <w:r>
              <w:rPr>
                <w:rFonts w:hint="eastAsia" w:ascii="仿宋_GB2312" w:hAnsi="仿宋_GB2312" w:eastAsia="仿宋_GB2312" w:cs="仿宋_GB2312"/>
              </w:rPr>
              <w:t>《月度运行维护报告》（如有）</w:t>
            </w:r>
          </w:p>
        </w:tc>
      </w:tr>
    </w:tbl>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rPr>
      </w:pPr>
      <w:r>
        <w:rPr>
          <w:rFonts w:hint="eastAsia" w:ascii="仿宋" w:hAnsi="仿宋" w:eastAsia="仿宋" w:cs="仿宋"/>
          <w:b/>
          <w:bCs/>
          <w:sz w:val="24"/>
          <w:szCs w:val="24"/>
          <w:lang w:val="en-US"/>
        </w:rPr>
        <w:t>六、项目团队要求</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熟悉采购人系统实施现状，具有项目相关系统实施经验；具备完成服务范围内各项工作的能力。</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1.项目经理、开发人员应具有同类项目的工作经验，提供人员简历。如发生更换，对替代人员的工作经验要求相同。</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2.承诺已进入项目组的人员不得随意更换。如确实需要更换人员须经过</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审核通过后方可换人。同时要求新换人员必须通过</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的审核，且由供应商保证人员更换期间工作的连续性。其他岗位人员如有更换需书面告知</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，并承诺不因此降低服务质量。</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3.承诺已进入项目组的驻场服务人员，要提供人员简历、学历证明复印件及人员相关认证资质复印件，签署安全保密承诺书，并满足</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管理要求：</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（1）所有驻场服务人员必须遵守</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作息制度和相关工作制度规定，提供5*8小时驻场服务。</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（2）驻场服务期间，所有驻场服务人员必须严格按照</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各项规章制度合规开展工作；驻场服务地点为</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指定地点。</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（3）任何驻场服务人员不得随意更换。如果更换人员则供应商应提前1个月通知</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，并经过</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审核通过后方可换人。同时要求新换人员必须通过</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的审核，且由供应商保证人员更换期间支持工作的连续性；</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（4）如果支持人员因违反</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工作纪律或相关运行制度，并给</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造成了损失，则供应商有责任进行赔偿，具体赔偿标准见合同。</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（5）根据支持效果，对于不能够胜任支持工作的人员，</w:t>
      </w:r>
      <w:r>
        <w:rPr>
          <w:rFonts w:hint="eastAsia" w:ascii="仿宋_GB2312" w:hAnsi="仿宋_GB2312" w:eastAsia="仿宋_GB2312" w:cs="仿宋_GB2312"/>
          <w:color w:val="auto"/>
          <w:sz w:val="22"/>
          <w:szCs w:val="22"/>
          <w:lang w:val="en-US" w:eastAsia="zh-CN"/>
        </w:rPr>
        <w:t>采购人</w:t>
      </w:r>
      <w:r>
        <w:rPr>
          <w:rFonts w:hint="eastAsia" w:ascii="仿宋" w:hAnsi="仿宋" w:eastAsia="仿宋" w:cs="仿宋"/>
          <w:kern w:val="2"/>
          <w:sz w:val="24"/>
          <w:szCs w:val="24"/>
          <w:lang w:val="en-US" w:eastAsia="zh-CN" w:bidi="ar-SA"/>
        </w:rPr>
        <w:t>有权利要求供应商重新进行调换。同时由供应商保证人员更换期间支持工作的连续性。</w:t>
      </w: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rPr>
      </w:pPr>
      <w:r>
        <w:rPr>
          <w:rFonts w:hint="eastAsia" w:ascii="仿宋" w:hAnsi="仿宋" w:eastAsia="仿宋" w:cs="仿宋"/>
          <w:b/>
          <w:bCs/>
          <w:sz w:val="24"/>
          <w:szCs w:val="24"/>
          <w:lang w:val="en-US" w:eastAsia="zh-CN"/>
        </w:rPr>
        <w:t>七</w:t>
      </w:r>
      <w:r>
        <w:rPr>
          <w:rFonts w:hint="eastAsia" w:ascii="仿宋" w:hAnsi="仿宋" w:eastAsia="仿宋" w:cs="仿宋"/>
          <w:b/>
          <w:bCs/>
          <w:sz w:val="24"/>
          <w:szCs w:val="24"/>
          <w:lang w:val="en-US"/>
        </w:rPr>
        <w:t>、安全要求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在未征得采购人同意的情况下，供应商供应商必须保证所提供的人员能够严格遵守各项规章制度，主要包括但不限于以下内容：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（一）法律合规方面，应有效规避实施过程中给采购人带来的法律风险。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（二）信息安全方面，应有效规避因服务人员导致的银行信息（如业务数据和商务信息等）泄漏风险。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（三）生产安全方面，应严格规避因人员操作不当，导致的银行系统出现安全性和稳定性风险事件。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（四）安全审计方面，应确保针对银行设备的相关操作留有纸质或视频记录。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五）保密要求方面，供应商对项目实施中涉及到的相关数据、资料、文档等具有保密的义务，并应按照相应保密规定执行。本项目所形成的数据成果归采购人所有。未经采购人同意，供应商不得向第三方泄露、公开或用于提供法律服务之外的其他目的，对掌握的采购人、采购人客户的资料，供应商应采取措施与其他客户资料施行有效隔离。</w:t>
      </w: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rPr>
      </w:pPr>
      <w:r>
        <w:rPr>
          <w:rFonts w:hint="eastAsia" w:ascii="仿宋" w:hAnsi="仿宋" w:eastAsia="仿宋" w:cs="仿宋"/>
          <w:b/>
          <w:bCs/>
          <w:sz w:val="24"/>
          <w:szCs w:val="24"/>
          <w:lang w:val="en-US" w:eastAsia="zh-CN"/>
        </w:rPr>
        <w:t>八</w:t>
      </w:r>
      <w:r>
        <w:rPr>
          <w:rFonts w:hint="eastAsia" w:ascii="仿宋" w:hAnsi="仿宋" w:eastAsia="仿宋" w:cs="仿宋"/>
          <w:b/>
          <w:bCs/>
          <w:sz w:val="24"/>
          <w:szCs w:val="24"/>
          <w:lang w:val="en-US"/>
        </w:rPr>
        <w:t>、交付或实施时间、地点</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2" w:firstLineChars="200"/>
        <w:textAlignment w:val="auto"/>
        <w:rPr>
          <w:rFonts w:hint="eastAsia" w:ascii="仿宋" w:hAnsi="仿宋" w:eastAsia="仿宋" w:cs="仿宋"/>
          <w:b/>
          <w:bCs/>
          <w:kern w:val="2"/>
          <w:sz w:val="24"/>
          <w:szCs w:val="24"/>
          <w:lang w:val="en-US" w:eastAsia="zh-CN" w:bidi="ar-SA"/>
        </w:rPr>
      </w:pPr>
      <w:r>
        <w:rPr>
          <w:rFonts w:hint="eastAsia" w:ascii="仿宋" w:hAnsi="仿宋" w:eastAsia="仿宋" w:cs="仿宋"/>
          <w:b/>
          <w:bCs/>
          <w:kern w:val="2"/>
          <w:sz w:val="24"/>
          <w:szCs w:val="24"/>
          <w:lang w:val="en-US" w:eastAsia="zh-CN" w:bidi="ar-SA"/>
        </w:rPr>
        <w:t>（一）项目周期</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合同签署后至免费维保期（三个月重保期结束后十二个月）结束。</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2" w:firstLineChars="200"/>
        <w:textAlignment w:val="auto"/>
        <w:rPr>
          <w:rFonts w:hint="eastAsia" w:ascii="仿宋" w:hAnsi="仿宋" w:eastAsia="仿宋" w:cs="仿宋"/>
          <w:b/>
          <w:bCs/>
          <w:kern w:val="2"/>
          <w:sz w:val="24"/>
          <w:szCs w:val="24"/>
          <w:lang w:val="en-US" w:eastAsia="zh-CN" w:bidi="ar-SA"/>
        </w:rPr>
      </w:pPr>
      <w:r>
        <w:rPr>
          <w:rFonts w:hint="eastAsia" w:ascii="仿宋" w:hAnsi="仿宋" w:eastAsia="仿宋" w:cs="仿宋"/>
          <w:b/>
          <w:bCs/>
          <w:kern w:val="2"/>
          <w:sz w:val="24"/>
          <w:szCs w:val="24"/>
          <w:lang w:val="en-US" w:eastAsia="zh-CN" w:bidi="ar-SA"/>
        </w:rPr>
        <w:t>（二）服务地点</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中国进出口银行信息科技部（北京或其他指定地点）。</w:t>
      </w:r>
    </w:p>
    <w:p>
      <w:pPr>
        <w:pStyle w:val="10"/>
        <w:numPr>
          <w:ilvl w:val="0"/>
          <w:numId w:val="2"/>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财务支付要求</w:t>
      </w:r>
    </w:p>
    <w:tbl>
      <w:tblPr>
        <w:tblStyle w:val="13"/>
        <w:tblW w:w="88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296"/>
        <w:gridCol w:w="4491"/>
        <w:gridCol w:w="2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884" w:type="dxa"/>
            <w:vAlign w:val="center"/>
          </w:tcPr>
          <w:p>
            <w:pPr>
              <w:widowControl/>
              <w:adjustRightInd w:val="0"/>
              <w:spacing w:line="560" w:lineRule="exact"/>
              <w:jc w:val="center"/>
              <w:textAlignment w:val="baseline"/>
              <w:rPr>
                <w:rFonts w:hint="eastAsia" w:ascii="黑体" w:hAnsi="黑体" w:eastAsia="黑体" w:cs="黑体"/>
                <w:sz w:val="24"/>
              </w:rPr>
            </w:pPr>
            <w:r>
              <w:rPr>
                <w:rFonts w:hint="eastAsia" w:ascii="黑体" w:hAnsi="黑体" w:eastAsia="黑体" w:cs="黑体"/>
                <w:sz w:val="24"/>
              </w:rPr>
              <w:t>序号</w:t>
            </w:r>
          </w:p>
        </w:tc>
        <w:tc>
          <w:tcPr>
            <w:tcW w:w="1296" w:type="dxa"/>
            <w:vAlign w:val="center"/>
          </w:tcPr>
          <w:p>
            <w:pPr>
              <w:widowControl/>
              <w:adjustRightInd w:val="0"/>
              <w:spacing w:line="560" w:lineRule="exact"/>
              <w:jc w:val="center"/>
              <w:textAlignment w:val="baseline"/>
              <w:rPr>
                <w:rFonts w:hint="eastAsia" w:ascii="黑体" w:hAnsi="黑体" w:eastAsia="黑体" w:cs="黑体"/>
                <w:sz w:val="24"/>
              </w:rPr>
            </w:pPr>
            <w:r>
              <w:rPr>
                <w:rFonts w:hint="eastAsia" w:ascii="黑体" w:hAnsi="黑体" w:eastAsia="黑体" w:cs="黑体"/>
                <w:sz w:val="24"/>
              </w:rPr>
              <w:t>付款节点</w:t>
            </w:r>
          </w:p>
        </w:tc>
        <w:tc>
          <w:tcPr>
            <w:tcW w:w="4491" w:type="dxa"/>
            <w:vAlign w:val="center"/>
          </w:tcPr>
          <w:p>
            <w:pPr>
              <w:widowControl/>
              <w:adjustRightInd w:val="0"/>
              <w:spacing w:line="560" w:lineRule="exact"/>
              <w:jc w:val="center"/>
              <w:textAlignment w:val="baseline"/>
              <w:rPr>
                <w:rFonts w:hint="eastAsia" w:ascii="黑体" w:hAnsi="黑体" w:eastAsia="黑体" w:cs="黑体"/>
                <w:sz w:val="24"/>
              </w:rPr>
            </w:pPr>
            <w:r>
              <w:rPr>
                <w:rFonts w:hint="eastAsia" w:ascii="黑体" w:hAnsi="黑体" w:eastAsia="黑体" w:cs="黑体"/>
                <w:sz w:val="24"/>
              </w:rPr>
              <w:t>付款条件</w:t>
            </w:r>
          </w:p>
        </w:tc>
        <w:tc>
          <w:tcPr>
            <w:tcW w:w="2187" w:type="dxa"/>
            <w:vAlign w:val="center"/>
          </w:tcPr>
          <w:p>
            <w:pPr>
              <w:widowControl/>
              <w:adjustRightInd w:val="0"/>
              <w:spacing w:line="560" w:lineRule="exact"/>
              <w:jc w:val="center"/>
              <w:textAlignment w:val="baseline"/>
              <w:rPr>
                <w:rFonts w:hint="eastAsia" w:ascii="黑体" w:hAnsi="黑体" w:eastAsia="黑体" w:cs="黑体"/>
                <w:sz w:val="24"/>
              </w:rPr>
            </w:pPr>
            <w:r>
              <w:rPr>
                <w:rFonts w:hint="eastAsia" w:ascii="黑体" w:hAnsi="黑体" w:eastAsia="黑体" w:cs="黑体"/>
                <w:sz w:val="24"/>
              </w:rPr>
              <w:t>付款比例(或金额)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884" w:type="dxa"/>
            <w:vAlign w:val="center"/>
          </w:tcPr>
          <w:p>
            <w:pPr>
              <w:spacing w:line="560" w:lineRule="exact"/>
              <w:jc w:val="center"/>
              <w:rPr>
                <w:rFonts w:eastAsia="仿宋_GB2312"/>
                <w:sz w:val="24"/>
                <w:szCs w:val="22"/>
              </w:rPr>
            </w:pPr>
            <w:r>
              <w:rPr>
                <w:rFonts w:hAnsi="楷体" w:eastAsia="仿宋_GB2312"/>
                <w:sz w:val="24"/>
                <w:szCs w:val="22"/>
              </w:rPr>
              <w:t>１</w:t>
            </w:r>
          </w:p>
        </w:tc>
        <w:tc>
          <w:tcPr>
            <w:tcW w:w="1296" w:type="dxa"/>
            <w:vAlign w:val="center"/>
          </w:tcPr>
          <w:p>
            <w:pPr>
              <w:spacing w:line="560" w:lineRule="exact"/>
              <w:jc w:val="center"/>
              <w:rPr>
                <w:rFonts w:hint="eastAsia" w:hAnsi="楷体" w:eastAsia="仿宋_GB2312"/>
                <w:sz w:val="24"/>
                <w:szCs w:val="22"/>
                <w:lang w:eastAsia="zh-CN"/>
              </w:rPr>
            </w:pPr>
            <w:r>
              <w:rPr>
                <w:rFonts w:hint="eastAsia" w:hAnsi="楷体" w:eastAsia="仿宋_GB2312"/>
                <w:sz w:val="24"/>
                <w:szCs w:val="22"/>
                <w:lang w:val="en-US" w:eastAsia="zh-CN"/>
              </w:rPr>
              <w:t>第一笔</w:t>
            </w:r>
          </w:p>
        </w:tc>
        <w:tc>
          <w:tcPr>
            <w:tcW w:w="4491" w:type="dxa"/>
            <w:vAlign w:val="center"/>
          </w:tcPr>
          <w:p>
            <w:pPr>
              <w:spacing w:line="360" w:lineRule="exact"/>
              <w:jc w:val="left"/>
              <w:rPr>
                <w:rFonts w:hint="eastAsia" w:hAnsi="楷体" w:eastAsia="仿宋_GB2312"/>
                <w:sz w:val="24"/>
                <w:szCs w:val="22"/>
              </w:rPr>
            </w:pPr>
            <w:r>
              <w:rPr>
                <w:rFonts w:hint="eastAsia" w:hAnsi="楷体" w:eastAsia="仿宋_GB2312"/>
                <w:sz w:val="24"/>
                <w:szCs w:val="22"/>
              </w:rPr>
              <w:t>合同签署</w:t>
            </w:r>
            <w:r>
              <w:rPr>
                <w:rFonts w:hAnsi="楷体" w:eastAsia="仿宋_GB2312"/>
                <w:sz w:val="24"/>
                <w:szCs w:val="22"/>
              </w:rPr>
              <w:t>后，</w:t>
            </w:r>
            <w:r>
              <w:rPr>
                <w:rFonts w:hint="eastAsia" w:hAnsi="楷体" w:eastAsia="仿宋_GB2312"/>
                <w:sz w:val="24"/>
                <w:szCs w:val="22"/>
              </w:rPr>
              <w:t>采购人</w:t>
            </w:r>
            <w:r>
              <w:rPr>
                <w:rFonts w:hAnsi="楷体" w:eastAsia="仿宋_GB2312"/>
                <w:sz w:val="24"/>
                <w:szCs w:val="22"/>
              </w:rPr>
              <w:t>在收到乙方出具的付款申请及相应金额经</w:t>
            </w:r>
            <w:r>
              <w:rPr>
                <w:rFonts w:hint="eastAsia" w:hAnsi="楷体" w:eastAsia="仿宋_GB2312"/>
                <w:sz w:val="24"/>
                <w:szCs w:val="22"/>
              </w:rPr>
              <w:t>采购人</w:t>
            </w:r>
            <w:r>
              <w:rPr>
                <w:rFonts w:hAnsi="楷体" w:eastAsia="仿宋_GB2312"/>
                <w:sz w:val="24"/>
                <w:szCs w:val="22"/>
              </w:rPr>
              <w:t>认可的合法有效发票之日起</w:t>
            </w:r>
            <w:r>
              <w:rPr>
                <w:rFonts w:hint="eastAsia" w:hAnsi="楷体" w:eastAsia="仿宋_GB2312"/>
                <w:sz w:val="24"/>
                <w:szCs w:val="22"/>
              </w:rPr>
              <w:t>20个工作</w:t>
            </w:r>
            <w:r>
              <w:rPr>
                <w:rFonts w:hAnsi="楷体" w:eastAsia="仿宋_GB2312"/>
                <w:sz w:val="24"/>
                <w:szCs w:val="22"/>
              </w:rPr>
              <w:t>日内</w:t>
            </w:r>
          </w:p>
        </w:tc>
        <w:tc>
          <w:tcPr>
            <w:tcW w:w="2187" w:type="dxa"/>
            <w:vAlign w:val="center"/>
          </w:tcPr>
          <w:p>
            <w:pPr>
              <w:spacing w:line="360" w:lineRule="exact"/>
              <w:jc w:val="left"/>
              <w:rPr>
                <w:rFonts w:hint="eastAsia" w:hAnsi="楷体" w:eastAsia="仿宋_GB2312"/>
                <w:sz w:val="24"/>
                <w:szCs w:val="22"/>
              </w:rPr>
            </w:pPr>
            <w:r>
              <w:rPr>
                <w:rFonts w:hint="eastAsia" w:hAnsi="楷体" w:eastAsia="仿宋_GB2312"/>
                <w:sz w:val="24"/>
                <w:szCs w:val="22"/>
              </w:rPr>
              <w:t>付款至</w:t>
            </w:r>
            <w:r>
              <w:rPr>
                <w:rFonts w:hAnsi="楷体" w:eastAsia="仿宋_GB2312"/>
                <w:sz w:val="24"/>
                <w:szCs w:val="22"/>
              </w:rPr>
              <w:t>合同</w:t>
            </w:r>
            <w:r>
              <w:rPr>
                <w:rFonts w:hint="eastAsia" w:hAnsi="楷体" w:eastAsia="仿宋_GB2312"/>
                <w:sz w:val="24"/>
                <w:szCs w:val="22"/>
                <w:lang w:val="en-US" w:eastAsia="zh-CN"/>
              </w:rPr>
              <w:t>中固定需求工作量</w:t>
            </w:r>
            <w:r>
              <w:rPr>
                <w:rFonts w:hAnsi="楷体" w:eastAsia="仿宋_GB2312"/>
                <w:sz w:val="24"/>
                <w:szCs w:val="22"/>
              </w:rPr>
              <w:t>金额的</w:t>
            </w:r>
            <w:r>
              <w:rPr>
                <w:rFonts w:hint="eastAsia" w:hAnsi="楷体" w:eastAsia="仿宋_GB2312"/>
                <w:sz w:val="24"/>
                <w:szCs w:val="22"/>
                <w:lang w:val="en-US" w:eastAsia="zh-CN"/>
              </w:rPr>
              <w:t>5</w:t>
            </w:r>
            <w:r>
              <w:rPr>
                <w:rFonts w:hint="eastAsia" w:hAnsi="楷体" w:eastAsia="仿宋_GB2312"/>
                <w:sz w:val="24"/>
                <w:szCs w:val="22"/>
              </w:rPr>
              <w:t>0</w:t>
            </w:r>
            <w:r>
              <w:rPr>
                <w:rFonts w:hAnsi="楷体" w:eastAsia="仿宋_GB2312"/>
                <w:sz w:val="24"/>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6" w:hRule="atLeast"/>
          <w:jc w:val="center"/>
        </w:trPr>
        <w:tc>
          <w:tcPr>
            <w:tcW w:w="884" w:type="dxa"/>
            <w:vAlign w:val="center"/>
          </w:tcPr>
          <w:p>
            <w:pPr>
              <w:spacing w:line="560" w:lineRule="exact"/>
              <w:jc w:val="center"/>
              <w:rPr>
                <w:rFonts w:hint="eastAsia" w:hAnsi="楷体" w:eastAsia="仿宋_GB2312"/>
                <w:sz w:val="24"/>
                <w:szCs w:val="22"/>
              </w:rPr>
            </w:pPr>
            <w:r>
              <w:rPr>
                <w:rFonts w:hint="eastAsia" w:hAnsi="楷体" w:eastAsia="仿宋_GB2312"/>
                <w:sz w:val="24"/>
                <w:szCs w:val="22"/>
              </w:rPr>
              <w:t>2</w:t>
            </w:r>
          </w:p>
        </w:tc>
        <w:tc>
          <w:tcPr>
            <w:tcW w:w="1296" w:type="dxa"/>
            <w:vAlign w:val="center"/>
          </w:tcPr>
          <w:p>
            <w:pPr>
              <w:spacing w:line="560" w:lineRule="exact"/>
              <w:jc w:val="center"/>
              <w:rPr>
                <w:rFonts w:hint="eastAsia" w:hAnsi="楷体" w:eastAsia="仿宋_GB2312"/>
                <w:sz w:val="24"/>
                <w:szCs w:val="22"/>
              </w:rPr>
            </w:pPr>
            <w:r>
              <w:rPr>
                <w:rFonts w:hint="eastAsia" w:hAnsi="楷体" w:eastAsia="仿宋_GB2312"/>
                <w:sz w:val="24"/>
                <w:szCs w:val="22"/>
                <w:lang w:val="en-US" w:eastAsia="zh-CN"/>
              </w:rPr>
              <w:t>第二笔</w:t>
            </w:r>
          </w:p>
        </w:tc>
        <w:tc>
          <w:tcPr>
            <w:tcW w:w="4491" w:type="dxa"/>
            <w:vAlign w:val="center"/>
          </w:tcPr>
          <w:p>
            <w:pPr>
              <w:spacing w:line="360" w:lineRule="exact"/>
              <w:jc w:val="left"/>
              <w:rPr>
                <w:rFonts w:hint="eastAsia" w:hAnsi="楷体" w:eastAsia="仿宋_GB2312"/>
                <w:sz w:val="24"/>
                <w:szCs w:val="22"/>
              </w:rPr>
            </w:pPr>
            <w:r>
              <w:rPr>
                <w:rFonts w:hint="eastAsia" w:hAnsi="楷体" w:eastAsia="仿宋_GB2312"/>
                <w:sz w:val="24"/>
                <w:szCs w:val="22"/>
              </w:rPr>
              <w:t>项目需求通过验收，采购人自收到乙方出具的付款申请及相应金额经采购人认可的合法有效发票之日起20个工作</w:t>
            </w:r>
            <w:r>
              <w:rPr>
                <w:rFonts w:hAnsi="楷体" w:eastAsia="仿宋_GB2312"/>
                <w:sz w:val="24"/>
                <w:szCs w:val="22"/>
              </w:rPr>
              <w:t>日内</w:t>
            </w:r>
          </w:p>
        </w:tc>
        <w:tc>
          <w:tcPr>
            <w:tcW w:w="2187" w:type="dxa"/>
            <w:vAlign w:val="center"/>
          </w:tcPr>
          <w:p>
            <w:pPr>
              <w:spacing w:line="360" w:lineRule="exact"/>
              <w:jc w:val="left"/>
              <w:rPr>
                <w:rFonts w:hint="eastAsia" w:hAnsi="楷体" w:eastAsia="仿宋_GB2312"/>
                <w:sz w:val="24"/>
                <w:szCs w:val="22"/>
              </w:rPr>
            </w:pPr>
            <w:r>
              <w:rPr>
                <w:rFonts w:hint="eastAsia" w:hAnsi="楷体" w:eastAsia="仿宋_GB2312"/>
                <w:sz w:val="24"/>
                <w:szCs w:val="22"/>
              </w:rPr>
              <w:t>付款至</w:t>
            </w:r>
            <w:r>
              <w:rPr>
                <w:rFonts w:hAnsi="楷体" w:eastAsia="仿宋_GB2312"/>
                <w:sz w:val="24"/>
                <w:szCs w:val="22"/>
              </w:rPr>
              <w:t>合同</w:t>
            </w:r>
            <w:r>
              <w:rPr>
                <w:rFonts w:hint="eastAsia" w:hAnsi="楷体" w:eastAsia="仿宋_GB2312"/>
                <w:sz w:val="24"/>
                <w:szCs w:val="22"/>
                <w:lang w:val="en-US" w:eastAsia="zh-CN"/>
              </w:rPr>
              <w:t>中固定需求工作量</w:t>
            </w:r>
            <w:r>
              <w:rPr>
                <w:rFonts w:hAnsi="楷体" w:eastAsia="仿宋_GB2312"/>
                <w:sz w:val="24"/>
                <w:szCs w:val="22"/>
              </w:rPr>
              <w:t>金额的</w:t>
            </w:r>
            <w:r>
              <w:rPr>
                <w:rFonts w:hint="eastAsia" w:hAnsi="楷体" w:eastAsia="仿宋_GB2312"/>
                <w:sz w:val="24"/>
                <w:szCs w:val="22"/>
              </w:rPr>
              <w:t>7</w:t>
            </w:r>
            <w:r>
              <w:rPr>
                <w:rFonts w:hAnsi="楷体" w:eastAsia="仿宋_GB2312"/>
                <w:sz w:val="24"/>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4" w:hRule="atLeast"/>
          <w:jc w:val="center"/>
        </w:trPr>
        <w:tc>
          <w:tcPr>
            <w:tcW w:w="884" w:type="dxa"/>
            <w:vAlign w:val="center"/>
          </w:tcPr>
          <w:p>
            <w:pPr>
              <w:spacing w:line="560" w:lineRule="exact"/>
              <w:jc w:val="center"/>
              <w:rPr>
                <w:rFonts w:eastAsia="仿宋_GB2312"/>
                <w:sz w:val="24"/>
                <w:szCs w:val="22"/>
              </w:rPr>
            </w:pPr>
            <w:r>
              <w:rPr>
                <w:rFonts w:hint="eastAsia" w:eastAsia="仿宋_GB2312"/>
                <w:sz w:val="24"/>
                <w:szCs w:val="22"/>
              </w:rPr>
              <w:t>3</w:t>
            </w:r>
          </w:p>
        </w:tc>
        <w:tc>
          <w:tcPr>
            <w:tcW w:w="1296" w:type="dxa"/>
            <w:vAlign w:val="center"/>
          </w:tcPr>
          <w:p>
            <w:pPr>
              <w:spacing w:line="560" w:lineRule="exact"/>
              <w:jc w:val="center"/>
              <w:rPr>
                <w:rFonts w:hint="eastAsia" w:hAnsi="楷体" w:eastAsia="仿宋_GB2312"/>
                <w:sz w:val="24"/>
                <w:szCs w:val="22"/>
              </w:rPr>
            </w:pPr>
            <w:r>
              <w:rPr>
                <w:rFonts w:hint="eastAsia" w:hAnsi="楷体" w:eastAsia="仿宋_GB2312"/>
                <w:sz w:val="24"/>
                <w:szCs w:val="22"/>
                <w:lang w:val="en-US" w:eastAsia="zh-CN"/>
              </w:rPr>
              <w:t>第三笔</w:t>
            </w:r>
          </w:p>
        </w:tc>
        <w:tc>
          <w:tcPr>
            <w:tcW w:w="4491" w:type="dxa"/>
            <w:vAlign w:val="center"/>
          </w:tcPr>
          <w:p>
            <w:pPr>
              <w:spacing w:line="360" w:lineRule="exact"/>
              <w:rPr>
                <w:rFonts w:hint="eastAsia" w:hAnsi="楷体" w:eastAsia="仿宋_GB2312"/>
                <w:sz w:val="24"/>
                <w:szCs w:val="22"/>
              </w:rPr>
            </w:pPr>
            <w:r>
              <w:rPr>
                <w:rFonts w:hint="eastAsia" w:hAnsi="楷体" w:eastAsia="仿宋_GB2312"/>
                <w:sz w:val="24"/>
                <w:szCs w:val="22"/>
              </w:rPr>
              <w:t>一年维保期结束，乙方提交维保期总结报告并得到采购人书面确认后，采购人收到乙方出具的付款申请及相应金额经采购人认可的合法有效发票之日起20</w:t>
            </w:r>
            <w:r>
              <w:rPr>
                <w:rFonts w:hAnsi="楷体" w:eastAsia="仿宋_GB2312"/>
                <w:sz w:val="24"/>
                <w:szCs w:val="22"/>
              </w:rPr>
              <w:t>个工作日内</w:t>
            </w:r>
          </w:p>
        </w:tc>
        <w:tc>
          <w:tcPr>
            <w:tcW w:w="2187" w:type="dxa"/>
            <w:vAlign w:val="center"/>
          </w:tcPr>
          <w:p>
            <w:pPr>
              <w:spacing w:line="360" w:lineRule="exact"/>
              <w:jc w:val="left"/>
              <w:rPr>
                <w:rFonts w:hint="eastAsia" w:hAnsi="楷体" w:eastAsia="仿宋_GB2312"/>
                <w:sz w:val="24"/>
                <w:szCs w:val="22"/>
                <w:lang w:val="en-US" w:eastAsia="zh-CN"/>
              </w:rPr>
            </w:pPr>
            <w:r>
              <w:rPr>
                <w:rFonts w:hint="eastAsia" w:hAnsi="楷体" w:eastAsia="仿宋_GB2312"/>
                <w:sz w:val="24"/>
                <w:szCs w:val="22"/>
              </w:rPr>
              <w:t>付款至</w:t>
            </w:r>
            <w:r>
              <w:rPr>
                <w:rFonts w:hAnsi="楷体" w:eastAsia="仿宋_GB2312"/>
                <w:sz w:val="24"/>
                <w:szCs w:val="22"/>
              </w:rPr>
              <w:t>合同</w:t>
            </w:r>
            <w:r>
              <w:rPr>
                <w:rFonts w:hint="eastAsia" w:hAnsi="楷体" w:eastAsia="仿宋_GB2312"/>
                <w:sz w:val="24"/>
                <w:szCs w:val="22"/>
                <w:lang w:val="en-US" w:eastAsia="zh-CN"/>
              </w:rPr>
              <w:t>中固定需求工作量</w:t>
            </w:r>
            <w:r>
              <w:rPr>
                <w:rFonts w:hAnsi="楷体" w:eastAsia="仿宋_GB2312"/>
                <w:sz w:val="24"/>
                <w:szCs w:val="22"/>
              </w:rPr>
              <w:t>金额的</w:t>
            </w:r>
            <w:r>
              <w:rPr>
                <w:rFonts w:hint="eastAsia" w:hAnsi="楷体" w:eastAsia="仿宋_GB2312"/>
                <w:sz w:val="24"/>
                <w:szCs w:val="22"/>
              </w:rPr>
              <w:t>10</w:t>
            </w:r>
            <w:r>
              <w:rPr>
                <w:rFonts w:hAnsi="楷体" w:eastAsia="仿宋_GB2312"/>
                <w:sz w:val="24"/>
                <w:szCs w:val="22"/>
              </w:rPr>
              <w:t>0%</w:t>
            </w:r>
            <w:r>
              <w:rPr>
                <w:rFonts w:hint="eastAsia" w:hAnsi="楷体" w:eastAsia="仿宋_GB2312"/>
                <w:sz w:val="24"/>
                <w:szCs w:val="22"/>
                <w:lang w:eastAsia="zh-CN"/>
              </w:rPr>
              <w:t>，</w:t>
            </w:r>
            <w:r>
              <w:rPr>
                <w:rFonts w:hint="eastAsia" w:hAnsi="楷体" w:eastAsia="仿宋_GB2312"/>
                <w:sz w:val="24"/>
                <w:szCs w:val="22"/>
              </w:rPr>
              <w:t>预留计划外工作量据实结算</w:t>
            </w:r>
          </w:p>
        </w:tc>
      </w:tr>
    </w:tbl>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十</w:t>
      </w:r>
      <w:r>
        <w:rPr>
          <w:rFonts w:hint="eastAsia" w:ascii="仿宋" w:hAnsi="仿宋" w:eastAsia="仿宋" w:cs="仿宋"/>
          <w:b/>
          <w:bCs/>
          <w:sz w:val="24"/>
          <w:szCs w:val="24"/>
          <w:lang w:val="en-US"/>
        </w:rPr>
        <w:t>、</w:t>
      </w:r>
      <w:r>
        <w:rPr>
          <w:rFonts w:hint="eastAsia" w:ascii="仿宋" w:hAnsi="仿宋" w:eastAsia="仿宋" w:cs="仿宋"/>
          <w:b/>
          <w:bCs/>
          <w:sz w:val="24"/>
          <w:szCs w:val="24"/>
          <w:lang w:val="en-US" w:eastAsia="zh-CN"/>
        </w:rPr>
        <w:t>履约验收方案</w:t>
      </w:r>
    </w:p>
    <w:p>
      <w:pPr>
        <w:keepNext w:val="0"/>
        <w:keepLines w:val="0"/>
        <w:pageBreakBefore w:val="0"/>
        <w:kinsoku/>
        <w:wordWrap/>
        <w:overflowPunct/>
        <w:topLinePunct w:val="0"/>
        <w:autoSpaceDE/>
        <w:autoSpaceDN/>
        <w:bidi w:val="0"/>
        <w:adjustRightInd w:val="0"/>
        <w:snapToGrid/>
        <w:spacing w:beforeAutospacing="0" w:afterAutospacing="0" w:line="360" w:lineRule="auto"/>
        <w:ind w:firstLine="482" w:firstLineChars="200"/>
        <w:textAlignment w:val="baseline"/>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lang w:val="en-US" w:eastAsia="zh-CN"/>
        </w:rPr>
        <w:t>（一）</w:t>
      </w:r>
      <w:r>
        <w:rPr>
          <w:rFonts w:hint="eastAsia" w:ascii="仿宋" w:hAnsi="仿宋" w:eastAsia="仿宋" w:cs="仿宋"/>
          <w:b/>
          <w:bCs/>
          <w:color w:val="auto"/>
          <w:sz w:val="24"/>
          <w:szCs w:val="24"/>
          <w:highlight w:val="none"/>
        </w:rPr>
        <w:t>履约验收的主体、时间、程序</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1.验收主体</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采购人组织验收。</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2.验收时间及程序</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项目涉及系统投产上线完成并稳定运行满3个月，各项功能满足验收标准，进出口银行组织验收。</w:t>
      </w:r>
    </w:p>
    <w:p>
      <w:pPr>
        <w:pStyle w:val="5"/>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rPr>
          <w:rFonts w:hint="eastAsia" w:ascii="仿宋" w:hAnsi="仿宋" w:eastAsia="仿宋" w:cs="仿宋"/>
          <w:sz w:val="24"/>
          <w:szCs w:val="24"/>
          <w:highlight w:val="none"/>
          <w:lang w:val="en-US" w:eastAsia="zh-CN"/>
        </w:rPr>
      </w:pPr>
      <w:r>
        <w:rPr>
          <w:rFonts w:hint="eastAsia" w:ascii="仿宋" w:hAnsi="仿宋" w:eastAsia="仿宋" w:cs="仿宋"/>
          <w:color w:val="auto"/>
          <w:sz w:val="24"/>
          <w:szCs w:val="24"/>
          <w:highlight w:val="none"/>
          <w:lang w:val="en-US" w:eastAsia="zh-CN"/>
        </w:rPr>
        <w:t>具备验收条件后，由供应商向采购人提出验收申请，采购人收到申请后，自行或授权第三方监理依照合同及本工作说明书对其工作进行验收评估，如验收评估中发现其工作存在瑕疵、问题或遗漏，供应商须按照采购人要求限时解决，解决后采购人再次进行验收。验收通过后，采购人出具验收报告。</w:t>
      </w:r>
    </w:p>
    <w:p>
      <w:pPr>
        <w:keepNext w:val="0"/>
        <w:keepLines w:val="0"/>
        <w:pageBreakBefore w:val="0"/>
        <w:numPr>
          <w:ilvl w:val="0"/>
          <w:numId w:val="3"/>
        </w:numPr>
        <w:kinsoku/>
        <w:wordWrap/>
        <w:overflowPunct/>
        <w:topLinePunct w:val="0"/>
        <w:autoSpaceDE/>
        <w:autoSpaceDN/>
        <w:bidi w:val="0"/>
        <w:adjustRightInd w:val="0"/>
        <w:snapToGrid/>
        <w:spacing w:beforeAutospacing="0" w:afterAutospacing="0" w:line="360" w:lineRule="auto"/>
        <w:ind w:firstLine="482" w:firstLineChars="200"/>
        <w:textAlignment w:val="baseline"/>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履约验收内容和标准</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本项目按采购人计划前完成上线，乙方应严格按实施计划完成设计、开发、测试、投产等各阶段内容，并确保项目总体目标。</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1.验收内容</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（1）交付件，包括文档资料、源代码等</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（2）适配改造的物理子系统应用软件</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（3）以量化的SLA考核指标为依据，对供应商服务及项目完成情况进行量化评价</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SA"/>
        </w:rPr>
        <w:t>2.验收标准</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64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kern w:val="2"/>
          <w:sz w:val="24"/>
          <w:szCs w:val="24"/>
          <w:highlight w:val="none"/>
          <w:lang w:val="en-US" w:eastAsia="zh-CN" w:bidi="ar-SA"/>
        </w:rPr>
        <w:t>（1）文档验收标准</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文档内容应包含对应工作阶段的所有工作任务的最终成果</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文档内容无重大分歧，进出口银行能够接受文档中的主要观点、认可文档中所体现的工作成果</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所有正式交付件表达清晰、内容完整，符合采购人要求。交付文档的描述不存在实质性的错误（包括不真实、遗漏、误差、以及对使用者可能产生误导的信息）；文字无重大或误导性错误</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文档交付齐备</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除特别指明的并经采购人同意的英文提交文档之外，要求提供中文文档</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提交项目全部交付件并通过采购人审核，在此基础上形成项目的《交付件交付情况一览表》，经过采购人核对认可</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firstLine="480" w:firstLineChars="20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（2）系统验收标准</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系统符合项目工作说明书的要求</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新增系统的安全等级保护基本要求满足国家标准和监管要求中对本系统的相应要求</w:t>
      </w:r>
    </w:p>
    <w:p>
      <w:pPr>
        <w:keepNext w:val="0"/>
        <w:keepLines w:val="0"/>
        <w:pageBreakBefore w:val="0"/>
        <w:numPr>
          <w:ilvl w:val="0"/>
          <w:numId w:val="4"/>
        </w:numPr>
        <w:kinsoku/>
        <w:wordWrap/>
        <w:overflowPunct/>
        <w:topLinePunct w:val="0"/>
        <w:autoSpaceDE/>
        <w:autoSpaceDN/>
        <w:bidi w:val="0"/>
        <w:adjustRightInd/>
        <w:snapToGrid/>
        <w:spacing w:beforeAutospacing="0" w:afterAutospacing="0" w:line="360" w:lineRule="auto"/>
        <w:ind w:left="1050" w:leftChars="0" w:hanging="420" w:firstLineChars="0"/>
        <w:jc w:val="both"/>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系统通过用户接收测试，若有遗留问题须在本项目最终验收启动前解决</w:t>
      </w:r>
    </w:p>
    <w:p>
      <w:pPr>
        <w:pStyle w:val="12"/>
        <w:keepNext w:val="0"/>
        <w:keepLines w:val="0"/>
        <w:pageBreakBefore w:val="0"/>
        <w:numPr>
          <w:ilvl w:val="0"/>
          <w:numId w:val="0"/>
        </w:numPr>
        <w:kinsoku/>
        <w:wordWrap/>
        <w:overflowPunct/>
        <w:topLinePunct w:val="0"/>
        <w:autoSpaceDE/>
        <w:autoSpaceDN/>
        <w:bidi w:val="0"/>
        <w:snapToGrid/>
        <w:spacing w:beforeAutospacing="0" w:after="0" w:afterAutospacing="0" w:line="360" w:lineRule="auto"/>
        <w:ind w:firstLine="480" w:firstLineChars="200"/>
        <w:rPr>
          <w:rFonts w:hint="eastAsia" w:ascii="仿宋" w:hAnsi="仿宋" w:eastAsia="仿宋" w:cs="仿宋"/>
          <w:color w:val="auto"/>
          <w:sz w:val="24"/>
          <w:szCs w:val="24"/>
          <w:highlight w:val="none"/>
          <w:lang w:val="en-US" w:eastAsia="zh-CN"/>
        </w:rPr>
      </w:pPr>
      <w:r>
        <w:rPr>
          <w:rFonts w:hint="eastAsia" w:ascii="仿宋" w:hAnsi="仿宋" w:eastAsia="仿宋" w:cs="仿宋"/>
          <w:color w:val="auto"/>
          <w:kern w:val="2"/>
          <w:sz w:val="24"/>
          <w:szCs w:val="24"/>
          <w:lang w:val="en-US" w:eastAsia="zh-CN" w:bidi="ar-SA"/>
        </w:rPr>
        <w:t>（3）</w:t>
      </w:r>
      <w:r>
        <w:rPr>
          <w:rFonts w:hint="eastAsia" w:ascii="仿宋" w:hAnsi="仿宋" w:eastAsia="仿宋" w:cs="仿宋"/>
          <w:color w:val="auto"/>
          <w:sz w:val="24"/>
          <w:szCs w:val="24"/>
          <w:highlight w:val="none"/>
          <w:lang w:val="en-US" w:eastAsia="zh-CN"/>
        </w:rPr>
        <w:t>SLA指标考核</w:t>
      </w:r>
    </w:p>
    <w:p>
      <w:pPr>
        <w:pStyle w:val="16"/>
        <w:keepNext w:val="0"/>
        <w:keepLines w:val="0"/>
        <w:pageBreakBefore w:val="0"/>
        <w:widowControl/>
        <w:numPr>
          <w:ilvl w:val="0"/>
          <w:numId w:val="0"/>
        </w:numPr>
        <w:kinsoku/>
        <w:wordWrap/>
        <w:overflowPunct/>
        <w:topLinePunct w:val="0"/>
        <w:autoSpaceDE/>
        <w:autoSpaceDN/>
        <w:bidi w:val="0"/>
        <w:snapToGrid/>
        <w:spacing w:beforeAutospacing="0" w:afterLines="0" w:afterAutospacing="0" w:line="360" w:lineRule="auto"/>
        <w:ind w:left="0" w:firstLine="480" w:firstLineChars="200"/>
        <w:rPr>
          <w:rFonts w:hint="eastAsia" w:ascii="仿宋" w:hAnsi="仿宋" w:eastAsia="仿宋" w:cs="仿宋"/>
          <w:kern w:val="2"/>
          <w:sz w:val="24"/>
          <w:szCs w:val="24"/>
          <w:highlight w:val="none"/>
        </w:rPr>
      </w:pPr>
      <w:r>
        <w:rPr>
          <w:rFonts w:hint="eastAsia" w:ascii="仿宋" w:hAnsi="仿宋" w:eastAsia="仿宋" w:cs="仿宋"/>
          <w:kern w:val="2"/>
          <w:sz w:val="24"/>
          <w:szCs w:val="24"/>
          <w:highlight w:val="none"/>
        </w:rPr>
        <w:t>本项目发起验收时，进行SLA考核。指标项如下：</w:t>
      </w:r>
    </w:p>
    <w:tbl>
      <w:tblPr>
        <w:tblStyle w:val="14"/>
        <w:tblW w:w="49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986"/>
        <w:gridCol w:w="2214"/>
        <w:gridCol w:w="4867"/>
        <w:gridCol w:w="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vAlign w:val="center"/>
          </w:tcPr>
          <w:p>
            <w:pPr>
              <w:widowControl/>
              <w:jc w:val="center"/>
              <w:rPr>
                <w:rFonts w:hint="eastAsia" w:ascii="黑体" w:hAnsi="黑体" w:eastAsia="黑体" w:cs="黑体"/>
                <w:kern w:val="0"/>
                <w:sz w:val="24"/>
                <w:lang w:val="en-GB"/>
              </w:rPr>
            </w:pPr>
            <w:r>
              <w:rPr>
                <w:rFonts w:hint="eastAsia" w:ascii="黑体" w:hAnsi="黑体" w:eastAsia="黑体" w:cs="黑体"/>
                <w:kern w:val="0"/>
                <w:sz w:val="24"/>
                <w:lang w:val="en-GB"/>
              </w:rPr>
              <w:t>序号</w:t>
            </w:r>
          </w:p>
        </w:tc>
        <w:tc>
          <w:tcPr>
            <w:tcW w:w="520" w:type="pct"/>
            <w:vAlign w:val="center"/>
          </w:tcPr>
          <w:p>
            <w:pPr>
              <w:widowControl/>
              <w:jc w:val="center"/>
              <w:rPr>
                <w:rFonts w:hint="eastAsia" w:ascii="黑体" w:hAnsi="黑体" w:eastAsia="黑体" w:cs="黑体"/>
                <w:kern w:val="0"/>
                <w:sz w:val="24"/>
                <w:lang w:val="en-GB"/>
              </w:rPr>
            </w:pPr>
            <w:r>
              <w:rPr>
                <w:rFonts w:hint="eastAsia" w:ascii="黑体" w:hAnsi="黑体" w:eastAsia="黑体" w:cs="黑体"/>
                <w:kern w:val="0"/>
                <w:sz w:val="24"/>
                <w:lang w:val="en-GB"/>
              </w:rPr>
              <w:t>指标名称</w:t>
            </w:r>
          </w:p>
        </w:tc>
        <w:tc>
          <w:tcPr>
            <w:tcW w:w="1168" w:type="pct"/>
            <w:vAlign w:val="center"/>
          </w:tcPr>
          <w:p>
            <w:pPr>
              <w:widowControl/>
              <w:jc w:val="center"/>
              <w:rPr>
                <w:rFonts w:hint="eastAsia" w:ascii="黑体" w:hAnsi="黑体" w:eastAsia="黑体" w:cs="黑体"/>
                <w:kern w:val="0"/>
                <w:sz w:val="24"/>
                <w:lang w:val="en-GB"/>
              </w:rPr>
            </w:pPr>
            <w:r>
              <w:rPr>
                <w:rFonts w:hint="eastAsia" w:ascii="黑体" w:hAnsi="黑体" w:eastAsia="黑体" w:cs="黑体"/>
                <w:kern w:val="0"/>
                <w:sz w:val="24"/>
                <w:lang w:val="en-GB"/>
              </w:rPr>
              <w:t>量化标准</w:t>
            </w:r>
          </w:p>
        </w:tc>
        <w:tc>
          <w:tcPr>
            <w:tcW w:w="2567" w:type="pct"/>
            <w:vAlign w:val="center"/>
          </w:tcPr>
          <w:p>
            <w:pPr>
              <w:widowControl/>
              <w:jc w:val="center"/>
              <w:rPr>
                <w:rFonts w:hint="eastAsia" w:ascii="黑体" w:hAnsi="黑体" w:eastAsia="黑体" w:cs="黑体"/>
                <w:kern w:val="0"/>
                <w:sz w:val="24"/>
                <w:lang w:val="en-GB"/>
              </w:rPr>
            </w:pPr>
            <w:r>
              <w:rPr>
                <w:rFonts w:hint="eastAsia" w:ascii="黑体" w:hAnsi="黑体" w:eastAsia="黑体" w:cs="黑体"/>
                <w:kern w:val="0"/>
                <w:sz w:val="24"/>
                <w:lang w:val="en-GB"/>
              </w:rPr>
              <w:t>评估方式</w:t>
            </w:r>
          </w:p>
          <w:p>
            <w:pPr>
              <w:widowControl/>
              <w:jc w:val="center"/>
              <w:rPr>
                <w:rFonts w:hint="eastAsia" w:ascii="黑体" w:hAnsi="黑体" w:eastAsia="黑体" w:cs="黑体"/>
                <w:kern w:val="0"/>
                <w:sz w:val="24"/>
                <w:lang w:val="en-GB"/>
              </w:rPr>
            </w:pPr>
            <w:r>
              <w:rPr>
                <w:rFonts w:hint="eastAsia" w:ascii="黑体" w:hAnsi="黑体" w:eastAsia="黑体" w:cs="黑体"/>
                <w:kern w:val="0"/>
                <w:sz w:val="24"/>
                <w:lang w:val="en-GB"/>
              </w:rPr>
              <w:t>（优100-良80-中60-差0）</w:t>
            </w:r>
          </w:p>
        </w:tc>
        <w:tc>
          <w:tcPr>
            <w:tcW w:w="520" w:type="pct"/>
            <w:vAlign w:val="center"/>
          </w:tcPr>
          <w:p>
            <w:pPr>
              <w:widowControl/>
              <w:jc w:val="center"/>
              <w:rPr>
                <w:rFonts w:hint="eastAsia" w:ascii="黑体" w:hAnsi="黑体" w:eastAsia="黑体" w:cs="黑体"/>
                <w:kern w:val="0"/>
                <w:sz w:val="24"/>
                <w:lang w:val="en-GB"/>
              </w:rPr>
            </w:pPr>
            <w:r>
              <w:rPr>
                <w:rFonts w:hint="eastAsia" w:ascii="黑体" w:hAnsi="黑体" w:eastAsia="黑体" w:cs="黑体"/>
                <w:kern w:val="0"/>
                <w:sz w:val="24"/>
                <w:lang w:val="en-GB"/>
              </w:rPr>
              <w:t>指标占比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lang w:val="de-DE"/>
              </w:rPr>
              <w:t>1</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lang w:val="de-DE"/>
              </w:rPr>
              <w:t>本项目进度及计划执行率</w:t>
            </w:r>
          </w:p>
        </w:tc>
        <w:tc>
          <w:tcPr>
            <w:tcW w:w="1168"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lang w:val="de-DE"/>
              </w:rPr>
              <w:t>各阶段累计工作延后完成天数/各阶段累计计划天数</w:t>
            </w:r>
          </w:p>
        </w:tc>
        <w:tc>
          <w:tcPr>
            <w:tcW w:w="2567" w:type="pct"/>
            <w:vAlign w:val="center"/>
          </w:tcPr>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1. 计划延误率</w:t>
            </w:r>
            <w:r>
              <w:rPr>
                <w:rFonts w:hint="eastAsia" w:ascii="仿宋_GB2312" w:hAnsi="仿宋_GB2312" w:eastAsia="仿宋_GB2312" w:cs="仿宋_GB2312"/>
                <w:kern w:val="0"/>
                <w:sz w:val="24"/>
              </w:rPr>
              <w:t>为0</w:t>
            </w:r>
            <w:r>
              <w:rPr>
                <w:rFonts w:hint="eastAsia" w:ascii="仿宋_GB2312" w:hAnsi="仿宋_GB2312" w:eastAsia="仿宋_GB2312" w:cs="仿宋_GB2312"/>
                <w:kern w:val="0"/>
                <w:sz w:val="24"/>
                <w:lang w:val="en-GB"/>
              </w:rPr>
              <w:t xml:space="preserve">        </w:t>
            </w:r>
            <w:r>
              <w:rPr>
                <w:rFonts w:hint="eastAsia" w:ascii="仿宋_GB2312" w:hAnsi="仿宋_GB2312" w:eastAsia="仿宋_GB2312" w:cs="仿宋_GB2312"/>
                <w:kern w:val="0"/>
                <w:sz w:val="24"/>
              </w:rPr>
              <w:t xml:space="preserve"> </w:t>
            </w:r>
            <w:r>
              <w:rPr>
                <w:rFonts w:hint="eastAsia" w:ascii="仿宋_GB2312" w:hAnsi="仿宋_GB2312" w:eastAsia="仿宋_GB2312" w:cs="仿宋_GB2312"/>
                <w:kern w:val="0"/>
                <w:sz w:val="24"/>
                <w:lang w:val="en-GB"/>
              </w:rPr>
              <w:t>优</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 xml:space="preserve">2. </w:t>
            </w:r>
            <w:r>
              <w:rPr>
                <w:rFonts w:hint="eastAsia" w:ascii="仿宋_GB2312" w:hAnsi="仿宋_GB2312" w:eastAsia="仿宋_GB2312" w:cs="仿宋_GB2312"/>
                <w:kern w:val="0"/>
                <w:sz w:val="24"/>
              </w:rPr>
              <w:t>0</w:t>
            </w:r>
            <w:r>
              <w:rPr>
                <w:rFonts w:hint="eastAsia" w:ascii="仿宋_GB2312" w:hAnsi="仿宋_GB2312" w:eastAsia="仿宋_GB2312" w:cs="仿宋_GB2312"/>
                <w:kern w:val="0"/>
                <w:sz w:val="24"/>
                <w:lang w:val="en-GB"/>
              </w:rPr>
              <w:t>＜计划延误率≤</w:t>
            </w:r>
            <w:r>
              <w:rPr>
                <w:rFonts w:hint="eastAsia" w:ascii="仿宋_GB2312" w:hAnsi="仿宋_GB2312" w:eastAsia="仿宋_GB2312" w:cs="仿宋_GB2312"/>
                <w:kern w:val="0"/>
                <w:sz w:val="24"/>
              </w:rPr>
              <w:t>1</w:t>
            </w:r>
            <w:r>
              <w:rPr>
                <w:rFonts w:hint="eastAsia" w:ascii="仿宋_GB2312" w:hAnsi="仿宋_GB2312" w:eastAsia="仿宋_GB2312" w:cs="仿宋_GB2312"/>
                <w:kern w:val="0"/>
                <w:sz w:val="24"/>
                <w:lang w:val="en-GB"/>
              </w:rPr>
              <w:t xml:space="preserve">%   </w:t>
            </w:r>
            <w:r>
              <w:rPr>
                <w:rFonts w:hint="eastAsia" w:ascii="仿宋_GB2312" w:hAnsi="仿宋_GB2312" w:eastAsia="仿宋_GB2312" w:cs="仿宋_GB2312"/>
                <w:kern w:val="0"/>
                <w:sz w:val="24"/>
              </w:rPr>
              <w:t xml:space="preserve">  </w:t>
            </w:r>
            <w:r>
              <w:rPr>
                <w:rFonts w:hint="eastAsia" w:ascii="仿宋_GB2312" w:hAnsi="仿宋_GB2312" w:eastAsia="仿宋_GB2312" w:cs="仿宋_GB2312"/>
                <w:kern w:val="0"/>
                <w:sz w:val="24"/>
                <w:lang w:val="en-GB"/>
              </w:rPr>
              <w:t>良</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3.</w:t>
            </w:r>
            <w:r>
              <w:rPr>
                <w:rFonts w:hint="eastAsia" w:ascii="仿宋_GB2312" w:hAnsi="仿宋_GB2312" w:eastAsia="仿宋_GB2312" w:cs="仿宋_GB2312"/>
                <w:kern w:val="0"/>
                <w:sz w:val="24"/>
              </w:rPr>
              <w:t xml:space="preserve"> 1</w:t>
            </w:r>
            <w:r>
              <w:rPr>
                <w:rFonts w:hint="eastAsia" w:ascii="仿宋_GB2312" w:hAnsi="仿宋_GB2312" w:eastAsia="仿宋_GB2312" w:cs="仿宋_GB2312"/>
                <w:kern w:val="0"/>
                <w:sz w:val="24"/>
                <w:lang w:val="en-GB"/>
              </w:rPr>
              <w:t>%＜计划延误率≤</w:t>
            </w:r>
            <w:r>
              <w:rPr>
                <w:rFonts w:hint="eastAsia" w:ascii="仿宋_GB2312" w:hAnsi="仿宋_GB2312" w:eastAsia="仿宋_GB2312" w:cs="仿宋_GB2312"/>
                <w:kern w:val="0"/>
                <w:sz w:val="24"/>
              </w:rPr>
              <w:t>3</w:t>
            </w:r>
            <w:r>
              <w:rPr>
                <w:rFonts w:hint="eastAsia" w:ascii="仿宋_GB2312" w:hAnsi="仿宋_GB2312" w:eastAsia="仿宋_GB2312" w:cs="仿宋_GB2312"/>
                <w:kern w:val="0"/>
                <w:sz w:val="24"/>
                <w:lang w:val="en-GB"/>
              </w:rPr>
              <w:t xml:space="preserve">%  </w:t>
            </w:r>
            <w:r>
              <w:rPr>
                <w:rFonts w:hint="eastAsia" w:ascii="仿宋_GB2312" w:hAnsi="仿宋_GB2312" w:eastAsia="仿宋_GB2312" w:cs="仿宋_GB2312"/>
                <w:kern w:val="0"/>
                <w:sz w:val="24"/>
              </w:rPr>
              <w:t xml:space="preserve">  </w:t>
            </w:r>
            <w:r>
              <w:rPr>
                <w:rFonts w:hint="eastAsia" w:ascii="仿宋_GB2312" w:hAnsi="仿宋_GB2312" w:eastAsia="仿宋_GB2312" w:cs="仿宋_GB2312"/>
                <w:kern w:val="0"/>
                <w:sz w:val="24"/>
                <w:lang w:val="en-GB"/>
              </w:rPr>
              <w:t>中</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4.</w:t>
            </w:r>
            <w:r>
              <w:rPr>
                <w:rFonts w:hint="eastAsia" w:ascii="仿宋_GB2312" w:hAnsi="仿宋_GB2312" w:eastAsia="仿宋_GB2312" w:cs="仿宋_GB2312"/>
                <w:kern w:val="0"/>
                <w:sz w:val="24"/>
              </w:rPr>
              <w:t xml:space="preserve"> 3</w:t>
            </w:r>
            <w:r>
              <w:rPr>
                <w:rFonts w:hint="eastAsia" w:ascii="仿宋_GB2312" w:hAnsi="仿宋_GB2312" w:eastAsia="仿宋_GB2312" w:cs="仿宋_GB2312"/>
                <w:kern w:val="0"/>
                <w:sz w:val="24"/>
                <w:lang w:val="en-GB"/>
              </w:rPr>
              <w:t xml:space="preserve">%＜计划延误率       </w:t>
            </w:r>
            <w:r>
              <w:rPr>
                <w:rFonts w:hint="eastAsia" w:ascii="仿宋_GB2312" w:hAnsi="仿宋_GB2312" w:eastAsia="仿宋_GB2312" w:cs="仿宋_GB2312"/>
                <w:kern w:val="0"/>
                <w:sz w:val="24"/>
              </w:rPr>
              <w:t xml:space="preserve"> </w:t>
            </w:r>
            <w:r>
              <w:rPr>
                <w:rFonts w:hint="eastAsia" w:ascii="仿宋_GB2312" w:hAnsi="仿宋_GB2312" w:eastAsia="仿宋_GB2312" w:cs="仿宋_GB2312"/>
                <w:kern w:val="0"/>
                <w:sz w:val="24"/>
                <w:lang w:val="en-GB"/>
              </w:rPr>
              <w:t>差</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rPr>
              <w:t>4</w:t>
            </w:r>
            <w:r>
              <w:rPr>
                <w:rFonts w:hint="eastAsia" w:ascii="仿宋_GB2312" w:hAnsi="仿宋_GB2312" w:eastAsia="仿宋_GB2312" w:cs="仿宋_GB2312"/>
                <w:kern w:val="0"/>
                <w:sz w:val="24"/>
                <w:lang w:val="de-D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lang w:val="de-DE"/>
              </w:rPr>
              <w:t>2</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lang w:val="de-DE"/>
              </w:rPr>
              <w:t>项目投产后问题数量</w:t>
            </w:r>
          </w:p>
        </w:tc>
        <w:tc>
          <w:tcPr>
            <w:tcW w:w="1168"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lang w:val="de-DE"/>
              </w:rPr>
              <w:t>投产后至验收时累计问题数</w:t>
            </w:r>
          </w:p>
        </w:tc>
        <w:tc>
          <w:tcPr>
            <w:tcW w:w="2567" w:type="pct"/>
            <w:vAlign w:val="center"/>
          </w:tcPr>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1.每100功能点每</w:t>
            </w:r>
            <w:r>
              <w:rPr>
                <w:rFonts w:hint="eastAsia" w:ascii="仿宋_GB2312" w:hAnsi="仿宋_GB2312" w:eastAsia="仿宋_GB2312" w:cs="仿宋_GB2312"/>
                <w:kern w:val="0"/>
                <w:sz w:val="24"/>
              </w:rPr>
              <w:t>3</w:t>
            </w:r>
            <w:r>
              <w:rPr>
                <w:rFonts w:hint="eastAsia" w:ascii="仿宋_GB2312" w:hAnsi="仿宋_GB2312" w:eastAsia="仿宋_GB2312" w:cs="仿宋_GB2312"/>
                <w:kern w:val="0"/>
                <w:sz w:val="24"/>
                <w:lang w:val="en-GB"/>
              </w:rPr>
              <w:t>月发现问题数</w:t>
            </w:r>
            <w:r>
              <w:rPr>
                <w:rFonts w:hint="eastAsia" w:ascii="仿宋_GB2312" w:hAnsi="仿宋_GB2312" w:eastAsia="仿宋_GB2312" w:cs="仿宋_GB2312"/>
                <w:kern w:val="0"/>
                <w:sz w:val="24"/>
                <w:lang w:val="en-US" w:eastAsia="zh-CN"/>
              </w:rPr>
              <w:t>+每3月发现影响银行实体下问题数</w:t>
            </w:r>
            <w:r>
              <w:rPr>
                <w:rFonts w:hint="eastAsia" w:ascii="仿宋_GB2312" w:hAnsi="仿宋_GB2312" w:eastAsia="仿宋_GB2312" w:cs="仿宋_GB2312"/>
                <w:kern w:val="0"/>
                <w:sz w:val="24"/>
                <w:lang w:val="en-GB"/>
              </w:rPr>
              <w:t>&lt;</w:t>
            </w:r>
            <w:r>
              <w:rPr>
                <w:rFonts w:hint="eastAsia" w:ascii="仿宋_GB2312" w:hAnsi="仿宋_GB2312" w:eastAsia="仿宋_GB2312" w:cs="仿宋_GB2312"/>
                <w:kern w:val="0"/>
                <w:sz w:val="24"/>
                <w:lang w:val="en-US" w:eastAsia="zh-CN"/>
              </w:rPr>
              <w:t>2</w:t>
            </w:r>
            <w:r>
              <w:rPr>
                <w:rFonts w:hint="eastAsia" w:ascii="仿宋_GB2312" w:hAnsi="仿宋_GB2312" w:eastAsia="仿宋_GB2312" w:cs="仿宋_GB2312"/>
                <w:kern w:val="0"/>
                <w:sz w:val="24"/>
                <w:lang w:val="en-GB"/>
              </w:rPr>
              <w:t xml:space="preserve">  优</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2.每100功能点每</w:t>
            </w:r>
            <w:r>
              <w:rPr>
                <w:rFonts w:hint="eastAsia" w:ascii="仿宋_GB2312" w:hAnsi="仿宋_GB2312" w:eastAsia="仿宋_GB2312" w:cs="仿宋_GB2312"/>
                <w:kern w:val="0"/>
                <w:sz w:val="24"/>
              </w:rPr>
              <w:t>3</w:t>
            </w:r>
            <w:r>
              <w:rPr>
                <w:rFonts w:hint="eastAsia" w:ascii="仿宋_GB2312" w:hAnsi="仿宋_GB2312" w:eastAsia="仿宋_GB2312" w:cs="仿宋_GB2312"/>
                <w:kern w:val="0"/>
                <w:sz w:val="24"/>
                <w:lang w:val="en-GB"/>
              </w:rPr>
              <w:t>月发现问题数</w:t>
            </w:r>
            <w:r>
              <w:rPr>
                <w:rFonts w:hint="eastAsia" w:ascii="仿宋_GB2312" w:hAnsi="仿宋_GB2312" w:eastAsia="仿宋_GB2312" w:cs="仿宋_GB2312"/>
                <w:kern w:val="0"/>
                <w:sz w:val="24"/>
                <w:lang w:val="en-US" w:eastAsia="zh-CN"/>
              </w:rPr>
              <w:t>+每3月发现影响银行实体下问题数</w:t>
            </w:r>
            <w:r>
              <w:rPr>
                <w:rFonts w:hint="eastAsia" w:ascii="仿宋_GB2312" w:hAnsi="仿宋_GB2312" w:eastAsia="仿宋_GB2312" w:cs="仿宋_GB2312"/>
                <w:kern w:val="0"/>
                <w:sz w:val="24"/>
                <w:lang w:val="en-GB"/>
              </w:rPr>
              <w:t>&lt;=</w:t>
            </w:r>
            <w:r>
              <w:rPr>
                <w:rFonts w:hint="eastAsia" w:ascii="仿宋_GB2312" w:hAnsi="仿宋_GB2312" w:eastAsia="仿宋_GB2312" w:cs="仿宋_GB2312"/>
                <w:kern w:val="0"/>
                <w:sz w:val="24"/>
                <w:lang w:val="en-US" w:eastAsia="zh-CN"/>
              </w:rPr>
              <w:t>5</w:t>
            </w:r>
            <w:r>
              <w:rPr>
                <w:rFonts w:hint="eastAsia" w:ascii="仿宋_GB2312" w:hAnsi="仿宋_GB2312" w:eastAsia="仿宋_GB2312" w:cs="仿宋_GB2312"/>
                <w:kern w:val="0"/>
                <w:sz w:val="24"/>
                <w:lang w:val="en-GB"/>
              </w:rPr>
              <w:t>良</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3.每100功能点每</w:t>
            </w:r>
            <w:r>
              <w:rPr>
                <w:rFonts w:hint="eastAsia" w:ascii="仿宋_GB2312" w:hAnsi="仿宋_GB2312" w:eastAsia="仿宋_GB2312" w:cs="仿宋_GB2312"/>
                <w:kern w:val="0"/>
                <w:sz w:val="24"/>
              </w:rPr>
              <w:t>3</w:t>
            </w:r>
            <w:r>
              <w:rPr>
                <w:rFonts w:hint="eastAsia" w:ascii="仿宋_GB2312" w:hAnsi="仿宋_GB2312" w:eastAsia="仿宋_GB2312" w:cs="仿宋_GB2312"/>
                <w:kern w:val="0"/>
                <w:sz w:val="24"/>
                <w:lang w:val="en-GB"/>
              </w:rPr>
              <w:t>月发现问题数</w:t>
            </w:r>
            <w:r>
              <w:rPr>
                <w:rFonts w:hint="eastAsia" w:ascii="仿宋_GB2312" w:hAnsi="仿宋_GB2312" w:eastAsia="仿宋_GB2312" w:cs="仿宋_GB2312"/>
                <w:kern w:val="0"/>
                <w:sz w:val="24"/>
                <w:lang w:val="en-US" w:eastAsia="zh-CN"/>
              </w:rPr>
              <w:t>+每3月发现影响银行实体下问题数</w:t>
            </w:r>
            <w:r>
              <w:rPr>
                <w:rFonts w:hint="eastAsia" w:ascii="仿宋_GB2312" w:hAnsi="仿宋_GB2312" w:eastAsia="仿宋_GB2312" w:cs="仿宋_GB2312"/>
                <w:kern w:val="0"/>
                <w:sz w:val="24"/>
                <w:lang w:val="en-GB"/>
              </w:rPr>
              <w:t>&lt;=1</w:t>
            </w:r>
            <w:r>
              <w:rPr>
                <w:rFonts w:hint="eastAsia" w:ascii="仿宋_GB2312" w:hAnsi="仿宋_GB2312" w:eastAsia="仿宋_GB2312" w:cs="仿宋_GB2312"/>
                <w:kern w:val="0"/>
                <w:sz w:val="24"/>
                <w:lang w:val="en-US" w:eastAsia="zh-CN"/>
              </w:rPr>
              <w:t>0</w:t>
            </w:r>
            <w:r>
              <w:rPr>
                <w:rFonts w:hint="eastAsia" w:ascii="仿宋_GB2312" w:hAnsi="仿宋_GB2312" w:eastAsia="仿宋_GB2312" w:cs="仿宋_GB2312"/>
                <w:kern w:val="0"/>
                <w:sz w:val="24"/>
                <w:lang w:val="en-GB"/>
              </w:rPr>
              <w:t>中</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4.每100功能点每</w:t>
            </w:r>
            <w:r>
              <w:rPr>
                <w:rFonts w:hint="eastAsia" w:ascii="仿宋_GB2312" w:hAnsi="仿宋_GB2312" w:eastAsia="仿宋_GB2312" w:cs="仿宋_GB2312"/>
                <w:kern w:val="0"/>
                <w:sz w:val="24"/>
              </w:rPr>
              <w:t>3</w:t>
            </w:r>
            <w:r>
              <w:rPr>
                <w:rFonts w:hint="eastAsia" w:ascii="仿宋_GB2312" w:hAnsi="仿宋_GB2312" w:eastAsia="仿宋_GB2312" w:cs="仿宋_GB2312"/>
                <w:kern w:val="0"/>
                <w:sz w:val="24"/>
                <w:lang w:val="en-GB"/>
              </w:rPr>
              <w:t>月发现问题数</w:t>
            </w:r>
            <w:r>
              <w:rPr>
                <w:rFonts w:hint="eastAsia" w:ascii="仿宋_GB2312" w:hAnsi="仿宋_GB2312" w:eastAsia="仿宋_GB2312" w:cs="仿宋_GB2312"/>
                <w:kern w:val="0"/>
                <w:sz w:val="24"/>
                <w:lang w:val="en-US" w:eastAsia="zh-CN"/>
              </w:rPr>
              <w:t>+每3月发现影响银行实体下问题数</w:t>
            </w:r>
            <w:r>
              <w:rPr>
                <w:rFonts w:hint="eastAsia" w:ascii="仿宋_GB2312" w:hAnsi="仿宋_GB2312" w:eastAsia="仿宋_GB2312" w:cs="仿宋_GB2312"/>
                <w:kern w:val="0"/>
                <w:sz w:val="24"/>
                <w:lang w:val="en-GB"/>
              </w:rPr>
              <w:t>&gt;1</w:t>
            </w:r>
            <w:r>
              <w:rPr>
                <w:rFonts w:hint="eastAsia" w:ascii="仿宋_GB2312" w:hAnsi="仿宋_GB2312" w:eastAsia="仿宋_GB2312" w:cs="仿宋_GB2312"/>
                <w:kern w:val="0"/>
                <w:sz w:val="24"/>
                <w:lang w:val="en-US" w:eastAsia="zh-CN"/>
              </w:rPr>
              <w:t>0</w:t>
            </w:r>
            <w:r>
              <w:rPr>
                <w:rFonts w:hint="eastAsia" w:ascii="仿宋_GB2312" w:hAnsi="仿宋_GB2312" w:eastAsia="仿宋_GB2312" w:cs="仿宋_GB2312"/>
                <w:kern w:val="0"/>
                <w:sz w:val="24"/>
                <w:lang w:val="en-GB"/>
              </w:rPr>
              <w:t xml:space="preserve">  差</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lang w:val="de-DE"/>
              </w:rPr>
            </w:pPr>
            <w:r>
              <w:rPr>
                <w:rFonts w:hint="eastAsia" w:ascii="仿宋_GB2312" w:hAnsi="仿宋_GB2312" w:eastAsia="仿宋_GB2312" w:cs="仿宋_GB2312"/>
                <w:kern w:val="0"/>
                <w:sz w:val="24"/>
              </w:rPr>
              <w:t>3</w:t>
            </w:r>
            <w:r>
              <w:rPr>
                <w:rFonts w:hint="eastAsia" w:ascii="仿宋_GB2312" w:hAnsi="仿宋_GB2312" w:eastAsia="仿宋_GB2312" w:cs="仿宋_GB2312"/>
                <w:kern w:val="0"/>
                <w:sz w:val="24"/>
                <w:lang w:val="de-D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3</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工单未及时处理率</w:t>
            </w:r>
          </w:p>
        </w:tc>
        <w:tc>
          <w:tcPr>
            <w:tcW w:w="1168"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工单处理时长超一个月工单数量/总工单数量</w:t>
            </w:r>
          </w:p>
        </w:tc>
        <w:tc>
          <w:tcPr>
            <w:tcW w:w="2567" w:type="pct"/>
            <w:vAlign w:val="center"/>
          </w:tcPr>
          <w:p>
            <w:pPr>
              <w:pStyle w:val="17"/>
              <w:widowControl/>
              <w:ind w:firstLine="0" w:firstLineChars="0"/>
              <w:jc w:val="left"/>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1. 工单未及时处理率</w:t>
            </w:r>
            <w:r>
              <w:rPr>
                <w:rFonts w:hint="eastAsia" w:ascii="仿宋_GB2312" w:hAnsi="仿宋_GB2312" w:eastAsia="仿宋_GB2312" w:cs="仿宋_GB2312"/>
                <w:kern w:val="0"/>
                <w:sz w:val="24"/>
                <w:lang w:val="en-GB"/>
              </w:rPr>
              <w:t>≤0%</w:t>
            </w:r>
            <w:r>
              <w:rPr>
                <w:rFonts w:hint="eastAsia" w:ascii="仿宋_GB2312" w:hAnsi="仿宋_GB2312" w:eastAsia="仿宋_GB2312" w:cs="仿宋_GB2312"/>
                <w:kern w:val="0"/>
                <w:sz w:val="24"/>
              </w:rPr>
              <w:t xml:space="preserve">     优</w:t>
            </w:r>
          </w:p>
          <w:p>
            <w:pPr>
              <w:pStyle w:val="17"/>
              <w:widowControl/>
              <w:ind w:firstLine="0" w:firstLineChars="0"/>
              <w:jc w:val="left"/>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2. 0%&lt;工单未及时处理率</w:t>
            </w:r>
            <w:r>
              <w:rPr>
                <w:rFonts w:hint="eastAsia" w:ascii="仿宋_GB2312" w:hAnsi="仿宋_GB2312" w:eastAsia="仿宋_GB2312" w:cs="仿宋_GB2312"/>
                <w:kern w:val="0"/>
                <w:sz w:val="24"/>
                <w:lang w:val="en-GB"/>
              </w:rPr>
              <w:t>≤</w:t>
            </w:r>
            <w:r>
              <w:rPr>
                <w:rFonts w:hint="eastAsia" w:ascii="仿宋_GB2312" w:hAnsi="仿宋_GB2312" w:eastAsia="仿宋_GB2312" w:cs="仿宋_GB2312"/>
                <w:kern w:val="0"/>
                <w:sz w:val="24"/>
              </w:rPr>
              <w:t>5</w:t>
            </w:r>
            <w:r>
              <w:rPr>
                <w:rFonts w:hint="eastAsia" w:ascii="仿宋_GB2312" w:hAnsi="仿宋_GB2312" w:eastAsia="仿宋_GB2312" w:cs="仿宋_GB2312"/>
                <w:kern w:val="0"/>
                <w:sz w:val="24"/>
                <w:lang w:val="en-GB"/>
              </w:rPr>
              <w:t>%</w:t>
            </w:r>
            <w:r>
              <w:rPr>
                <w:rFonts w:hint="eastAsia" w:ascii="仿宋_GB2312" w:hAnsi="仿宋_GB2312" w:eastAsia="仿宋_GB2312" w:cs="仿宋_GB2312"/>
                <w:kern w:val="0"/>
                <w:sz w:val="24"/>
              </w:rPr>
              <w:t xml:space="preserve">  良</w:t>
            </w:r>
          </w:p>
          <w:p>
            <w:pPr>
              <w:pStyle w:val="17"/>
              <w:widowControl/>
              <w:ind w:firstLine="0" w:firstLineChars="0"/>
              <w:jc w:val="left"/>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3. 5%&lt;工单未及时处理率</w:t>
            </w:r>
            <w:r>
              <w:rPr>
                <w:rFonts w:hint="eastAsia" w:ascii="仿宋_GB2312" w:hAnsi="仿宋_GB2312" w:eastAsia="仿宋_GB2312" w:cs="仿宋_GB2312"/>
                <w:kern w:val="0"/>
                <w:sz w:val="24"/>
                <w:lang w:val="en-GB"/>
              </w:rPr>
              <w:t>≤</w:t>
            </w:r>
            <w:r>
              <w:rPr>
                <w:rFonts w:hint="eastAsia" w:ascii="仿宋_GB2312" w:hAnsi="仿宋_GB2312" w:eastAsia="仿宋_GB2312" w:cs="仿宋_GB2312"/>
                <w:kern w:val="0"/>
                <w:sz w:val="24"/>
              </w:rPr>
              <w:t>15</w:t>
            </w:r>
            <w:r>
              <w:rPr>
                <w:rFonts w:hint="eastAsia" w:ascii="仿宋_GB2312" w:hAnsi="仿宋_GB2312" w:eastAsia="仿宋_GB2312" w:cs="仿宋_GB2312"/>
                <w:kern w:val="0"/>
                <w:sz w:val="24"/>
                <w:lang w:val="en-GB"/>
              </w:rPr>
              <w:t>%</w:t>
            </w:r>
            <w:r>
              <w:rPr>
                <w:rFonts w:hint="eastAsia" w:ascii="仿宋_GB2312" w:hAnsi="仿宋_GB2312" w:eastAsia="仿宋_GB2312" w:cs="仿宋_GB2312"/>
                <w:kern w:val="0"/>
                <w:sz w:val="24"/>
              </w:rPr>
              <w:t xml:space="preserve"> 中</w:t>
            </w:r>
          </w:p>
          <w:p>
            <w:pPr>
              <w:pStyle w:val="17"/>
              <w:widowControl/>
              <w:ind w:firstLine="0" w:firstLineChars="0"/>
              <w:jc w:val="left"/>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4. 15%&lt;工单未及时处理率     差</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6" w:hRule="atLeast"/>
          <w:jc w:val="center"/>
        </w:trPr>
        <w:tc>
          <w:tcPr>
            <w:tcW w:w="223"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4</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异常考勤率</w:t>
            </w:r>
          </w:p>
        </w:tc>
        <w:tc>
          <w:tcPr>
            <w:tcW w:w="1168"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驻场期间异常考勤天数/应出勤天数</w:t>
            </w:r>
          </w:p>
        </w:tc>
        <w:tc>
          <w:tcPr>
            <w:tcW w:w="2567" w:type="pct"/>
            <w:vAlign w:val="center"/>
          </w:tcPr>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 xml:space="preserve">1. </w:t>
            </w:r>
            <w:r>
              <w:rPr>
                <w:rFonts w:hint="eastAsia" w:ascii="仿宋_GB2312" w:hAnsi="仿宋_GB2312" w:eastAsia="仿宋_GB2312" w:cs="仿宋_GB2312"/>
                <w:kern w:val="0"/>
                <w:sz w:val="24"/>
              </w:rPr>
              <w:t>异常考勤</w:t>
            </w:r>
            <w:r>
              <w:rPr>
                <w:rFonts w:hint="eastAsia" w:ascii="仿宋_GB2312" w:hAnsi="仿宋_GB2312" w:eastAsia="仿宋_GB2312" w:cs="仿宋_GB2312"/>
                <w:kern w:val="0"/>
                <w:sz w:val="24"/>
                <w:lang w:val="en-GB"/>
              </w:rPr>
              <w:t>率≤</w:t>
            </w:r>
            <w:r>
              <w:rPr>
                <w:rFonts w:hint="eastAsia" w:ascii="仿宋_GB2312" w:hAnsi="仿宋_GB2312" w:eastAsia="仿宋_GB2312" w:cs="仿宋_GB2312"/>
                <w:kern w:val="0"/>
                <w:sz w:val="24"/>
              </w:rPr>
              <w:t>5</w:t>
            </w:r>
            <w:r>
              <w:rPr>
                <w:rFonts w:hint="eastAsia" w:ascii="仿宋_GB2312" w:hAnsi="仿宋_GB2312" w:eastAsia="仿宋_GB2312" w:cs="仿宋_GB2312"/>
                <w:kern w:val="0"/>
                <w:sz w:val="24"/>
                <w:lang w:val="en-GB"/>
              </w:rPr>
              <w:t>%        优</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 xml:space="preserve">2. </w:t>
            </w:r>
            <w:r>
              <w:rPr>
                <w:rFonts w:hint="eastAsia" w:ascii="仿宋_GB2312" w:hAnsi="仿宋_GB2312" w:eastAsia="仿宋_GB2312" w:cs="仿宋_GB2312"/>
                <w:kern w:val="0"/>
                <w:sz w:val="24"/>
              </w:rPr>
              <w:t>5</w:t>
            </w:r>
            <w:r>
              <w:rPr>
                <w:rFonts w:hint="eastAsia" w:ascii="仿宋_GB2312" w:hAnsi="仿宋_GB2312" w:eastAsia="仿宋_GB2312" w:cs="仿宋_GB2312"/>
                <w:kern w:val="0"/>
                <w:sz w:val="24"/>
                <w:lang w:val="en-GB"/>
              </w:rPr>
              <w:t>%＜</w:t>
            </w:r>
            <w:r>
              <w:rPr>
                <w:rFonts w:hint="eastAsia" w:ascii="仿宋_GB2312" w:hAnsi="仿宋_GB2312" w:eastAsia="仿宋_GB2312" w:cs="仿宋_GB2312"/>
                <w:kern w:val="0"/>
                <w:sz w:val="24"/>
              </w:rPr>
              <w:t>异常考勤</w:t>
            </w:r>
            <w:r>
              <w:rPr>
                <w:rFonts w:hint="eastAsia" w:ascii="仿宋_GB2312" w:hAnsi="仿宋_GB2312" w:eastAsia="仿宋_GB2312" w:cs="仿宋_GB2312"/>
                <w:kern w:val="0"/>
                <w:sz w:val="24"/>
                <w:lang w:val="en-GB"/>
              </w:rPr>
              <w:t>率≤</w:t>
            </w:r>
            <w:r>
              <w:rPr>
                <w:rFonts w:hint="eastAsia" w:ascii="仿宋_GB2312" w:hAnsi="仿宋_GB2312" w:eastAsia="仿宋_GB2312" w:cs="仿宋_GB2312"/>
                <w:kern w:val="0"/>
                <w:sz w:val="24"/>
              </w:rPr>
              <w:t>10</w:t>
            </w:r>
            <w:r>
              <w:rPr>
                <w:rFonts w:hint="eastAsia" w:ascii="仿宋_GB2312" w:hAnsi="仿宋_GB2312" w:eastAsia="仿宋_GB2312" w:cs="仿宋_GB2312"/>
                <w:kern w:val="0"/>
                <w:sz w:val="24"/>
                <w:lang w:val="en-GB"/>
              </w:rPr>
              <w:t>%   良</w:t>
            </w:r>
          </w:p>
          <w:p>
            <w:pPr>
              <w:pStyle w:val="17"/>
              <w:widowControl/>
              <w:ind w:firstLine="0" w:firstLineChars="0"/>
              <w:jc w:val="left"/>
              <w:rPr>
                <w:rFonts w:hint="eastAsia" w:ascii="仿宋_GB2312" w:hAnsi="仿宋_GB2312" w:eastAsia="仿宋_GB2312" w:cs="仿宋_GB2312"/>
                <w:kern w:val="0"/>
                <w:sz w:val="24"/>
                <w:lang w:val="en-GB"/>
              </w:rPr>
            </w:pPr>
            <w:r>
              <w:rPr>
                <w:rFonts w:hint="eastAsia" w:ascii="仿宋_GB2312" w:hAnsi="仿宋_GB2312" w:eastAsia="仿宋_GB2312" w:cs="仿宋_GB2312"/>
                <w:kern w:val="0"/>
                <w:sz w:val="24"/>
                <w:lang w:val="en-GB"/>
              </w:rPr>
              <w:t>3.</w:t>
            </w:r>
            <w:r>
              <w:rPr>
                <w:rFonts w:hint="eastAsia" w:ascii="仿宋_GB2312" w:hAnsi="仿宋_GB2312" w:eastAsia="仿宋_GB2312" w:cs="仿宋_GB2312"/>
                <w:kern w:val="0"/>
                <w:sz w:val="24"/>
              </w:rPr>
              <w:t xml:space="preserve"> 10</w:t>
            </w:r>
            <w:r>
              <w:rPr>
                <w:rFonts w:hint="eastAsia" w:ascii="仿宋_GB2312" w:hAnsi="仿宋_GB2312" w:eastAsia="仿宋_GB2312" w:cs="仿宋_GB2312"/>
                <w:kern w:val="0"/>
                <w:sz w:val="24"/>
                <w:lang w:val="en-GB"/>
              </w:rPr>
              <w:t>%＜</w:t>
            </w:r>
            <w:r>
              <w:rPr>
                <w:rFonts w:hint="eastAsia" w:ascii="仿宋_GB2312" w:hAnsi="仿宋_GB2312" w:eastAsia="仿宋_GB2312" w:cs="仿宋_GB2312"/>
                <w:kern w:val="0"/>
                <w:sz w:val="24"/>
              </w:rPr>
              <w:t>异常考勤</w:t>
            </w:r>
            <w:r>
              <w:rPr>
                <w:rFonts w:hint="eastAsia" w:ascii="仿宋_GB2312" w:hAnsi="仿宋_GB2312" w:eastAsia="仿宋_GB2312" w:cs="仿宋_GB2312"/>
                <w:kern w:val="0"/>
                <w:sz w:val="24"/>
                <w:lang w:val="en-GB"/>
              </w:rPr>
              <w:t>率≤15%  中</w:t>
            </w:r>
          </w:p>
          <w:p>
            <w:pPr>
              <w:pStyle w:val="17"/>
              <w:widowControl/>
              <w:ind w:firstLine="0" w:firstLineChars="0"/>
              <w:jc w:val="left"/>
              <w:rPr>
                <w:rFonts w:hint="eastAsia" w:ascii="仿宋_GB2312" w:hAnsi="仿宋_GB2312" w:eastAsia="仿宋_GB2312" w:cs="仿宋_GB2312"/>
                <w:kern w:val="0"/>
                <w:sz w:val="24"/>
              </w:rPr>
            </w:pPr>
            <w:r>
              <w:rPr>
                <w:rFonts w:hint="eastAsia" w:ascii="仿宋_GB2312" w:hAnsi="仿宋_GB2312" w:eastAsia="仿宋_GB2312" w:cs="仿宋_GB2312"/>
                <w:kern w:val="0"/>
                <w:sz w:val="24"/>
                <w:lang w:val="en-GB"/>
              </w:rPr>
              <w:t>4.</w:t>
            </w:r>
            <w:r>
              <w:rPr>
                <w:rFonts w:hint="eastAsia" w:ascii="仿宋_GB2312" w:hAnsi="仿宋_GB2312" w:eastAsia="仿宋_GB2312" w:cs="仿宋_GB2312"/>
                <w:kern w:val="0"/>
                <w:sz w:val="24"/>
              </w:rPr>
              <w:t xml:space="preserve"> </w:t>
            </w:r>
            <w:r>
              <w:rPr>
                <w:rFonts w:hint="eastAsia" w:ascii="仿宋_GB2312" w:hAnsi="仿宋_GB2312" w:eastAsia="仿宋_GB2312" w:cs="仿宋_GB2312"/>
                <w:kern w:val="0"/>
                <w:sz w:val="24"/>
                <w:lang w:val="en-GB"/>
              </w:rPr>
              <w:t>15%＜</w:t>
            </w:r>
            <w:r>
              <w:rPr>
                <w:rFonts w:hint="eastAsia" w:ascii="仿宋_GB2312" w:hAnsi="仿宋_GB2312" w:eastAsia="仿宋_GB2312" w:cs="仿宋_GB2312"/>
                <w:kern w:val="0"/>
                <w:sz w:val="24"/>
              </w:rPr>
              <w:t>异常考勤</w:t>
            </w:r>
            <w:r>
              <w:rPr>
                <w:rFonts w:hint="eastAsia" w:ascii="仿宋_GB2312" w:hAnsi="仿宋_GB2312" w:eastAsia="仿宋_GB2312" w:cs="仿宋_GB2312"/>
                <w:kern w:val="0"/>
                <w:sz w:val="24"/>
                <w:lang w:val="en-GB"/>
              </w:rPr>
              <w:t>率       差</w:t>
            </w:r>
          </w:p>
        </w:tc>
        <w:tc>
          <w:tcPr>
            <w:tcW w:w="520" w:type="pct"/>
            <w:vAlign w:val="center"/>
          </w:tcPr>
          <w:p>
            <w:pPr>
              <w:pStyle w:val="17"/>
              <w:widowControl/>
              <w:ind w:firstLine="0" w:firstLineChars="0"/>
              <w:jc w:val="center"/>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5000" w:type="pct"/>
            <w:gridSpan w:val="5"/>
            <w:vAlign w:val="center"/>
          </w:tcPr>
          <w:p>
            <w:pPr>
              <w:pStyle w:val="17"/>
              <w:widowControl/>
              <w:tabs>
                <w:tab w:val="left" w:pos="2252"/>
              </w:tabs>
              <w:ind w:firstLine="0" w:firstLineChars="0"/>
              <w:jc w:val="left"/>
              <w:rPr>
                <w:rFonts w:hint="eastAsia" w:ascii="仿宋_GB2312" w:hAnsi="仿宋_GB2312" w:eastAsia="仿宋_GB2312" w:cs="仿宋_GB2312"/>
                <w:kern w:val="0"/>
                <w:sz w:val="24"/>
              </w:rPr>
            </w:pPr>
            <w:r>
              <w:rPr>
                <w:rFonts w:hint="eastAsia" w:ascii="仿宋_GB2312" w:hAnsi="仿宋_GB2312" w:eastAsia="仿宋_GB2312" w:cs="仿宋_GB2312"/>
                <w:kern w:val="0"/>
                <w:sz w:val="24"/>
              </w:rPr>
              <w:t>说明：本项目涉及功能点情况和数量随报价文件一并提供，应与工作量评估底稿一致；考勤率结合</w:t>
            </w:r>
            <w:r>
              <w:rPr>
                <w:rFonts w:hint="eastAsia" w:ascii="仿宋_GB2312" w:hAnsi="仿宋_GB2312" w:eastAsia="仿宋_GB2312" w:cs="仿宋_GB2312"/>
                <w:kern w:val="0"/>
                <w:sz w:val="24"/>
                <w:lang w:eastAsia="zh-CN"/>
              </w:rPr>
              <w:t>采购人</w:t>
            </w:r>
            <w:r>
              <w:rPr>
                <w:rFonts w:hint="eastAsia" w:ascii="仿宋_GB2312" w:hAnsi="仿宋_GB2312" w:eastAsia="仿宋_GB2312" w:cs="仿宋_GB2312"/>
                <w:kern w:val="0"/>
                <w:sz w:val="24"/>
              </w:rPr>
              <w:t>外包考勤情况进行计算。</w:t>
            </w:r>
          </w:p>
        </w:tc>
      </w:tr>
    </w:tbl>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630" w:leftChars="0"/>
        <w:jc w:val="both"/>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根据SLA最后得分情况，划分为四个等级： </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630" w:leftChars="0"/>
        <w:jc w:val="both"/>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SLA&gt;=95的为优；</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630" w:leftChars="0"/>
        <w:jc w:val="both"/>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SLA在80-95的为良；</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630" w:leftChars="0"/>
        <w:jc w:val="both"/>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SLA在60-80的为中；</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630" w:leftChars="0"/>
        <w:jc w:val="both"/>
        <w:textAlignment w:val="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SLA&lt;60的为差。</w:t>
      </w:r>
    </w:p>
    <w:p>
      <w:pPr>
        <w:keepNext w:val="0"/>
        <w:keepLines w:val="0"/>
        <w:pageBreakBefore w:val="0"/>
        <w:kinsoku/>
        <w:wordWrap/>
        <w:overflowPunct/>
        <w:topLinePunct w:val="0"/>
        <w:autoSpaceDE/>
        <w:autoSpaceDN/>
        <w:bidi w:val="0"/>
        <w:adjustRightInd w:val="0"/>
        <w:snapToGrid/>
        <w:spacing w:beforeAutospacing="0" w:afterAutospacing="0" w:line="360" w:lineRule="auto"/>
        <w:ind w:firstLine="482" w:firstLineChars="200"/>
        <w:textAlignment w:val="baseline"/>
        <w:rPr>
          <w:rFonts w:hint="eastAsia" w:ascii="仿宋" w:hAnsi="仿宋" w:eastAsia="仿宋" w:cs="仿宋"/>
          <w:b/>
          <w:bCs/>
          <w:color w:val="auto"/>
          <w:sz w:val="24"/>
          <w:szCs w:val="24"/>
          <w:highlight w:val="none"/>
          <w:lang w:val="en-US" w:eastAsia="zh-CN"/>
        </w:rPr>
      </w:pPr>
      <w:bookmarkStart w:id="52" w:name="_Toc7716"/>
      <w:r>
        <w:rPr>
          <w:rFonts w:hint="eastAsia" w:ascii="仿宋" w:hAnsi="仿宋" w:eastAsia="仿宋" w:cs="仿宋"/>
          <w:b/>
          <w:bCs/>
          <w:color w:val="auto"/>
          <w:sz w:val="24"/>
          <w:szCs w:val="24"/>
          <w:highlight w:val="none"/>
          <w:lang w:val="en-US" w:eastAsia="zh-CN"/>
        </w:rPr>
        <w:t>（三）违约责任</w:t>
      </w:r>
      <w:bookmarkEnd w:id="52"/>
    </w:p>
    <w:p>
      <w:pPr>
        <w:pStyle w:val="6"/>
        <w:keepNext w:val="0"/>
        <w:keepLines w:val="0"/>
        <w:pageBreakBefore w:val="0"/>
        <w:kinsoku/>
        <w:wordWrap/>
        <w:overflowPunct/>
        <w:topLinePunct w:val="0"/>
        <w:autoSpaceDE/>
        <w:autoSpaceDN/>
        <w:bidi w:val="0"/>
        <w:snapToGrid/>
        <w:spacing w:before="0" w:beforeAutospacing="0" w:after="0" w:afterAutospacing="0" w:line="360" w:lineRule="auto"/>
        <w:ind w:firstLine="480" w:firstLineChars="20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1.乙方在合同签署后，需要按上线计划完成投产上线。如因乙方原因导致未能按期投产上线，将按照每逾期一日，扣除“合同价款”的千分之五（5‰）。</w:t>
      </w:r>
    </w:p>
    <w:p>
      <w:pPr>
        <w:pStyle w:val="6"/>
        <w:keepNext w:val="0"/>
        <w:keepLines w:val="0"/>
        <w:pageBreakBefore w:val="0"/>
        <w:kinsoku/>
        <w:wordWrap/>
        <w:overflowPunct/>
        <w:topLinePunct w:val="0"/>
        <w:autoSpaceDE/>
        <w:autoSpaceDN/>
        <w:bidi w:val="0"/>
        <w:snapToGrid/>
        <w:spacing w:before="0" w:beforeAutospacing="0" w:after="0" w:afterAutospacing="0" w:line="360" w:lineRule="auto"/>
        <w:ind w:firstLine="480" w:firstLineChars="20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2.SLA考核的罚则。</w:t>
      </w:r>
    </w:p>
    <w:p>
      <w:pPr>
        <w:pStyle w:val="6"/>
        <w:keepNext w:val="0"/>
        <w:keepLines w:val="0"/>
        <w:pageBreakBefore w:val="0"/>
        <w:kinsoku/>
        <w:wordWrap/>
        <w:overflowPunct/>
        <w:topLinePunct w:val="0"/>
        <w:autoSpaceDE/>
        <w:autoSpaceDN/>
        <w:bidi w:val="0"/>
        <w:snapToGrid/>
        <w:spacing w:before="0" w:beforeAutospacing="0" w:after="0" w:afterAutospacing="0" w:line="360" w:lineRule="auto"/>
        <w:ind w:firstLine="480" w:firstLineChars="20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（1）SLA考核为良：约谈公司高管，提出服务质量保障具体措施并限期落实；</w:t>
      </w:r>
    </w:p>
    <w:p>
      <w:pPr>
        <w:pStyle w:val="6"/>
        <w:keepNext w:val="0"/>
        <w:keepLines w:val="0"/>
        <w:pageBreakBefore w:val="0"/>
        <w:kinsoku/>
        <w:wordWrap/>
        <w:overflowPunct/>
        <w:topLinePunct w:val="0"/>
        <w:autoSpaceDE/>
        <w:autoSpaceDN/>
        <w:bidi w:val="0"/>
        <w:snapToGrid/>
        <w:spacing w:before="0" w:beforeAutospacing="0" w:after="0" w:afterAutospacing="0" w:line="360" w:lineRule="auto"/>
        <w:ind w:firstLine="480" w:firstLineChars="20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（2）SLA考核为中：约谈公司高管，提出服务质量保障具体措施并限期落实，从本次付款起每期付款顺次延迟半年支付，如有多次延迟的，延迟期限叠加。</w:t>
      </w:r>
    </w:p>
    <w:p>
      <w:pPr>
        <w:pStyle w:val="6"/>
        <w:keepNext w:val="0"/>
        <w:keepLines w:val="0"/>
        <w:pageBreakBefore w:val="0"/>
        <w:kinsoku/>
        <w:wordWrap/>
        <w:overflowPunct/>
        <w:topLinePunct w:val="0"/>
        <w:autoSpaceDE/>
        <w:autoSpaceDN/>
        <w:bidi w:val="0"/>
        <w:snapToGrid/>
        <w:spacing w:before="0" w:beforeAutospacing="0" w:after="0" w:afterAutospacing="0" w:line="360" w:lineRule="auto"/>
        <w:ind w:firstLine="480" w:firstLineChars="200"/>
        <w:rPr>
          <w:rFonts w:hint="eastAsia" w:ascii="仿宋" w:hAnsi="仿宋" w:eastAsia="仿宋" w:cs="仿宋"/>
          <w:kern w:val="2"/>
          <w:sz w:val="24"/>
          <w:szCs w:val="24"/>
          <w:lang w:val="en-US" w:eastAsia="zh-CN" w:bidi="ar-SA"/>
        </w:rPr>
      </w:pPr>
      <w:r>
        <w:rPr>
          <w:rFonts w:hint="eastAsia" w:ascii="仿宋" w:hAnsi="仿宋" w:eastAsia="仿宋" w:cs="仿宋"/>
          <w:sz w:val="24"/>
          <w:szCs w:val="24"/>
          <w:highlight w:val="none"/>
          <w:lang w:val="en-US" w:eastAsia="zh-CN"/>
        </w:rPr>
        <w:t>（3）SLA 考核为差：约谈公司高管，提出服务质量保障具体措施并限期落实，暂停本次及以后各期款项支付，直至下次考核时服务质量达到中级以上，接续按以上标准执行。如已是最后一次验收，则扣除“合同价款”的百分之五（5%）。</w:t>
      </w:r>
    </w:p>
    <w:p>
      <w:pPr>
        <w:pStyle w:val="10"/>
        <w:numPr>
          <w:ilvl w:val="1"/>
          <w:numId w:val="0"/>
        </w:numPr>
        <w:adjustRightInd w:val="0"/>
        <w:spacing w:before="0" w:beforeLines="0" w:after="0" w:afterLines="0" w:line="360" w:lineRule="auto"/>
        <w:ind w:firstLine="482" w:firstLineChars="200"/>
        <w:jc w:val="both"/>
        <w:textAlignment w:val="baseline"/>
        <w:outlineLvl w:val="1"/>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十一、投标资质要求</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kern w:val="2"/>
          <w:sz w:val="24"/>
          <w:szCs w:val="24"/>
          <w:highlight w:val="none"/>
          <w:lang w:val="en-US" w:eastAsia="zh-CN" w:bidi="ar-SA"/>
        </w:rPr>
      </w:pPr>
      <w:r>
        <w:rPr>
          <w:rFonts w:hint="eastAsia" w:ascii="仿宋" w:hAnsi="仿宋" w:eastAsia="仿宋" w:cs="仿宋"/>
          <w:kern w:val="2"/>
          <w:sz w:val="24"/>
          <w:szCs w:val="24"/>
          <w:lang w:val="en-US" w:eastAsia="zh-CN" w:bidi="ar-SA"/>
        </w:rPr>
        <w:t>无。</w:t>
      </w:r>
      <w:bookmarkEnd w:id="45"/>
    </w:p>
    <w:p>
      <w:pPr>
        <w:rPr>
          <w:rFonts w:hint="eastAsia" w:ascii="仿宋" w:hAnsi="仿宋" w:eastAsia="仿宋" w:cs="仿宋"/>
          <w:kern w:val="2"/>
          <w:sz w:val="24"/>
          <w:szCs w:val="24"/>
          <w:highlight w:val="none"/>
          <w:lang w:val="en-US" w:eastAsia="zh-CN" w:bidi="ar-SA"/>
        </w:rPr>
      </w:pPr>
    </w:p>
    <w:p>
      <w:pPr>
        <w:ind w:firstLine="480" w:firstLineChars="200"/>
        <w:rPr>
          <w:rFonts w:hint="eastAsia" w:ascii="仿宋" w:hAnsi="仿宋" w:eastAsia="仿宋" w:cs="仿宋"/>
          <w:kern w:val="2"/>
          <w:sz w:val="24"/>
          <w:szCs w:val="24"/>
          <w:highlight w:val="none"/>
          <w:lang w:val="en-US" w:eastAsia="zh-CN" w:bidi="ar-SA"/>
        </w:rPr>
      </w:pPr>
      <w:r>
        <w:rPr>
          <w:rFonts w:hint="eastAsia" w:ascii="仿宋" w:hAnsi="仿宋" w:eastAsia="仿宋" w:cs="仿宋"/>
          <w:kern w:val="2"/>
          <w:sz w:val="24"/>
          <w:szCs w:val="24"/>
          <w:highlight w:val="none"/>
          <w:lang w:val="en-US" w:eastAsia="zh-CN" w:bidi="ar-SA"/>
        </w:rPr>
        <w:t>附件：</w:t>
      </w:r>
    </w:p>
    <w:p>
      <w:pPr>
        <w:pStyle w:val="5"/>
        <w:rPr>
          <w:rFonts w:hint="eastAsia" w:ascii="仿宋" w:hAnsi="仿宋" w:eastAsia="仿宋" w:cs="仿宋"/>
          <w:kern w:val="0"/>
          <w:sz w:val="28"/>
          <w:szCs w:val="28"/>
          <w:lang w:val="en-US" w:eastAsia="zh-CN"/>
        </w:rPr>
      </w:pPr>
      <w:r>
        <w:rPr>
          <w:rFonts w:hint="default"/>
          <w:lang w:val="en-US" w:eastAsia="zh-CN"/>
        </w:rPr>
        <w:object>
          <v:shape id="_x0000_i1025" o:spt="75" type="#_x0000_t75" style="height:65.4pt;width:72.6pt;" o:ole="t" filled="f" o:preferrelative="t" stroked="f" coordsize="21600,21600">
            <v:path/>
            <v:fill on="f" focussize="0,0"/>
            <v:stroke on="f"/>
            <v:imagedata r:id="rId9" o:title=""/>
            <o:lock v:ext="edit" aspectratio="t"/>
            <w10:wrap type="none"/>
            <w10:anchorlock/>
          </v:shape>
          <o:OLEObject Type="Embed" ProgID="Package" ShapeID="_x0000_i1025" DrawAspect="Icon" ObjectID="_1468075725" r:id="rId8">
            <o:LockedField>false</o:LockedField>
          </o:OLEObject>
        </w:object>
      </w:r>
    </w:p>
    <w:p/>
    <w:sectPr>
      <w:headerReference r:id="rId5" w:type="default"/>
      <w:footerReference r:id="rId6" w:type="default"/>
      <w:pgSz w:w="11906" w:h="16838"/>
      <w:pgMar w:top="1247" w:right="1247" w:bottom="1247" w:left="1247" w:header="851" w:footer="992" w:gutter="0"/>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jc w:val="center"/>
      <w:rPr>
        <w:rFonts w:hint="eastAsia"/>
      </w:rPr>
    </w:pPr>
    <w:r>
      <w:fldChar w:fldCharType="begin"/>
    </w:r>
    <w:r>
      <w:instrText xml:space="preserve">PAGE   \* MERGEFORMAT</w:instrText>
    </w:r>
    <w:r>
      <w:fldChar w:fldCharType="separate"/>
    </w:r>
    <w:r>
      <w:rPr>
        <w:lang w:val="zh-CN"/>
      </w:rP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fldChar w:fldCharType="begin"/>
    </w:r>
    <w:r>
      <w:instrText xml:space="preserve">PAGE   \* MERGEFORMAT</w:instrText>
    </w:r>
    <w:r>
      <w:fldChar w:fldCharType="separate"/>
    </w:r>
    <w:r>
      <w:rPr>
        <w:lang w:val="zh-CN"/>
      </w:rPr>
      <w:t>1</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djustRightInd w:val="0"/>
      <w:snapToGrid w:val="0"/>
      <w:jc w:val="left"/>
      <w:rPr>
        <w:szCs w:val="21"/>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DF962B"/>
    <w:multiLevelType w:val="singleLevel"/>
    <w:tmpl w:val="84DF962B"/>
    <w:lvl w:ilvl="0" w:tentative="0">
      <w:start w:val="2"/>
      <w:numFmt w:val="chineseCounting"/>
      <w:suff w:val="nothing"/>
      <w:lvlText w:val="（%1）"/>
      <w:lvlJc w:val="left"/>
      <w:rPr>
        <w:rFonts w:hint="eastAsia"/>
      </w:rPr>
    </w:lvl>
  </w:abstractNum>
  <w:abstractNum w:abstractNumId="1">
    <w:nsid w:val="AE84738A"/>
    <w:multiLevelType w:val="singleLevel"/>
    <w:tmpl w:val="AE84738A"/>
    <w:lvl w:ilvl="0" w:tentative="0">
      <w:start w:val="1"/>
      <w:numFmt w:val="decimal"/>
      <w:suff w:val="nothing"/>
      <w:lvlText w:val="%1"/>
      <w:lvlJc w:val="left"/>
      <w:pPr>
        <w:tabs>
          <w:tab w:val="left" w:pos="0"/>
        </w:tabs>
        <w:ind w:left="454" w:hanging="454"/>
      </w:pPr>
      <w:rPr>
        <w:rFonts w:hint="default" w:ascii="宋体" w:hAnsi="宋体" w:eastAsia="宋体" w:cs="宋体"/>
      </w:rPr>
    </w:lvl>
  </w:abstractNum>
  <w:abstractNum w:abstractNumId="2">
    <w:nsid w:val="F91E1A1F"/>
    <w:multiLevelType w:val="singleLevel"/>
    <w:tmpl w:val="F91E1A1F"/>
    <w:lvl w:ilvl="0" w:tentative="0">
      <w:start w:val="9"/>
      <w:numFmt w:val="chineseCounting"/>
      <w:suff w:val="nothing"/>
      <w:lvlText w:val="%1、"/>
      <w:lvlJc w:val="left"/>
      <w:rPr>
        <w:rFonts w:hint="eastAsia"/>
      </w:rPr>
    </w:lvl>
  </w:abstractNum>
  <w:abstractNum w:abstractNumId="3">
    <w:nsid w:val="73942994"/>
    <w:multiLevelType w:val="singleLevel"/>
    <w:tmpl w:val="73942994"/>
    <w:lvl w:ilvl="0" w:tentative="0">
      <w:start w:val="1"/>
      <w:numFmt w:val="bullet"/>
      <w:lvlText w:val=""/>
      <w:lvlJc w:val="left"/>
      <w:pPr>
        <w:ind w:left="1050" w:hanging="420"/>
      </w:pPr>
      <w:rPr>
        <w:rFonts w:hint="default" w:ascii="Wingdings" w:hAnsi="Wingdings"/>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497354B"/>
    <w:rsid w:val="63E66E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4">
    <w:name w:val="heading 2"/>
    <w:basedOn w:val="1"/>
    <w:next w:val="1"/>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15">
    <w:name w:val="Default Paragraph Font"/>
    <w:semiHidden/>
    <w:uiPriority w:val="0"/>
  </w:style>
  <w:style w:type="table" w:default="1" w:styleId="13">
    <w:name w:val="Normal Table"/>
    <w:semiHidden/>
    <w:uiPriority w:val="0"/>
    <w:tblPr>
      <w:tblCellMar>
        <w:top w:w="0" w:type="dxa"/>
        <w:left w:w="108" w:type="dxa"/>
        <w:bottom w:w="0" w:type="dxa"/>
        <w:right w:w="108" w:type="dxa"/>
      </w:tblCellMar>
    </w:tblPr>
  </w:style>
  <w:style w:type="paragraph" w:styleId="2">
    <w:name w:val="Body Text"/>
    <w:basedOn w:val="1"/>
    <w:next w:val="3"/>
    <w:qFormat/>
    <w:uiPriority w:val="0"/>
    <w:pPr>
      <w:spacing w:after="120"/>
    </w:pPr>
  </w:style>
  <w:style w:type="paragraph" w:styleId="3">
    <w:name w:val="Plain Text"/>
    <w:basedOn w:val="1"/>
    <w:unhideWhenUsed/>
    <w:qFormat/>
    <w:uiPriority w:val="0"/>
    <w:rPr>
      <w:rFonts w:ascii="宋体" w:hAnsi="Courier New"/>
      <w:szCs w:val="21"/>
    </w:rPr>
  </w:style>
  <w:style w:type="paragraph" w:styleId="5">
    <w:name w:val="Normal Indent"/>
    <w:basedOn w:val="1"/>
    <w:next w:val="6"/>
    <w:qFormat/>
    <w:uiPriority w:val="0"/>
    <w:pPr>
      <w:spacing w:before="100" w:beforeAutospacing="1" w:after="100" w:afterAutospacing="1"/>
      <w:ind w:firstLine="200" w:firstLineChars="200"/>
    </w:pPr>
  </w:style>
  <w:style w:type="paragraph" w:styleId="6">
    <w:name w:val="caption"/>
    <w:basedOn w:val="1"/>
    <w:next w:val="1"/>
    <w:qFormat/>
    <w:uiPriority w:val="0"/>
    <w:pPr>
      <w:spacing w:before="152" w:after="160"/>
    </w:pPr>
    <w:rPr>
      <w:rFonts w:ascii="Arial" w:hAnsi="Arial" w:eastAsia="黑体"/>
      <w:sz w:val="20"/>
      <w:szCs w:val="20"/>
    </w:rPr>
  </w:style>
  <w:style w:type="paragraph" w:styleId="7">
    <w:name w:val="annotation text"/>
    <w:basedOn w:val="1"/>
    <w:qFormat/>
    <w:uiPriority w:val="0"/>
    <w:pPr>
      <w:jc w:val="left"/>
    </w:p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Title"/>
    <w:basedOn w:val="4"/>
    <w:next w:val="1"/>
    <w:qFormat/>
    <w:uiPriority w:val="10"/>
    <w:pPr>
      <w:widowControl/>
      <w:tabs>
        <w:tab w:val="left" w:pos="192"/>
      </w:tabs>
      <w:spacing w:before="50" w:after="50" w:line="240" w:lineRule="exact"/>
      <w:jc w:val="center"/>
      <w:outlineLvl w:val="0"/>
    </w:pPr>
    <w:rPr>
      <w:rFonts w:ascii="Cambria" w:hAnsi="Cambria" w:cs="Times New Roman"/>
      <w:sz w:val="28"/>
      <w:szCs w:val="32"/>
    </w:rPr>
  </w:style>
  <w:style w:type="paragraph" w:styleId="11">
    <w:name w:val="Body Text First Indent"/>
    <w:basedOn w:val="2"/>
    <w:unhideWhenUsed/>
    <w:qFormat/>
    <w:uiPriority w:val="0"/>
    <w:pPr>
      <w:widowControl w:val="0"/>
      <w:spacing w:line="240" w:lineRule="auto"/>
      <w:ind w:left="0" w:firstLine="420" w:firstLineChars="100"/>
      <w:jc w:val="both"/>
    </w:pPr>
    <w:rPr>
      <w:rFonts w:ascii="Arial" w:hAnsi="Arial"/>
      <w:kern w:val="2"/>
      <w:sz w:val="21"/>
      <w:szCs w:val="24"/>
    </w:rPr>
  </w:style>
  <w:style w:type="paragraph" w:styleId="12">
    <w:name w:val="Body Text First Indent 2"/>
    <w:basedOn w:val="1"/>
    <w:next w:val="11"/>
    <w:unhideWhenUsed/>
    <w:qFormat/>
    <w:uiPriority w:val="0"/>
    <w:pPr>
      <w:spacing w:after="120"/>
      <w:ind w:left="420" w:leftChars="200" w:firstLine="420" w:firstLineChars="200"/>
    </w:pPr>
    <w:rPr>
      <w:rFonts w:ascii="Calibri" w:hAnsi="Calibri"/>
      <w:sz w:val="24"/>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
    <w:name w:val="* Body1"/>
    <w:basedOn w:val="1"/>
    <w:qFormat/>
    <w:uiPriority w:val="0"/>
    <w:pPr>
      <w:widowControl/>
      <w:spacing w:afterLines="50" w:line="360" w:lineRule="auto"/>
    </w:pPr>
    <w:rPr>
      <w:rFonts w:cs="宋体"/>
      <w:kern w:val="0"/>
      <w:sz w:val="24"/>
      <w:szCs w:val="20"/>
    </w:rPr>
  </w:style>
  <w:style w:type="paragraph" w:styleId="17">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1.emf"/><Relationship Id="rId8" Type="http://schemas.openxmlformats.org/officeDocument/2006/relationships/oleObject" Target="embeddings/oleObject1.bin"/><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0</Words>
  <Characters>0</Characters>
  <Lines>0</Lines>
  <Paragraphs>0</Paragraphs>
  <TotalTime>0</TotalTime>
  <ScaleCrop>false</ScaleCrop>
  <LinksUpToDate>false</LinksUpToDate>
  <CharactersWithSpaces>0</CharactersWithSpaces>
  <Application>WPS Office_12.8.0.16987_F1E327BC-269C-435d-A152-05C5408002CA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2026-05-18T08:33:00Z</dcterms:created>
  <dc:creator>dn</dc:creator>
  <cp:lastModifiedBy>zh-wangj07</cp:lastModifiedBy>
  <dcterms:modified xsi:type="dcterms:W3CDTF">2026-05-18T08:55:44Z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2052-12.8.0.16987</vt:lpwstr>
  </property>
  <property fmtid="{D5CDD505-2E9C-101B-9397-08002B2CF9AE}" pid="3" name="KSOTemplateDocerSaveRecord">
    <vt:lpwstr>eyJoZGlkIjoiZmQwNzEzOGYxNjI1Y2Q4OGRiN2E4NWZkZDk2MzcyMDMiLCJ1c2VySWQiOiI2OTYwMzk0MTgifQ==</vt:lpwstr>
  </property>
  <property fmtid="{D5CDD505-2E9C-101B-9397-08002B2CF9AE}" pid="4" name="ICV">
    <vt:lpwstr>D33DD9812EA24B508D4E6D3BEEBC3051_13</vt:lpwstr>
  </property>
</Properties>
</file>