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64C07">
      <w:pPr>
        <w:keepNext/>
        <w:keepLines/>
        <w:pageBreakBefore w:val="0"/>
        <w:widowControl w:val="0"/>
        <w:kinsoku/>
        <w:wordWrap/>
        <w:overflowPunct/>
        <w:topLinePunct w:val="0"/>
        <w:autoSpaceDE/>
        <w:autoSpaceDN/>
        <w:bidi w:val="0"/>
        <w:adjustRightInd w:val="0"/>
        <w:snapToGrid/>
        <w:spacing w:before="157" w:beforeLines="50" w:after="157" w:afterLines="50" w:line="360" w:lineRule="auto"/>
        <w:jc w:val="both"/>
        <w:textAlignment w:val="baseline"/>
        <w:outlineLvl w:val="0"/>
      </w:pPr>
      <w:bookmarkStart w:id="0" w:name="_Toc12414"/>
      <w:r>
        <w:rPr>
          <w:rFonts w:hint="eastAsia" w:ascii="黑体" w:hAnsi="黑体" w:eastAsia="黑体" w:cs="黑体"/>
          <w:b w:val="0"/>
          <w:bCs w:val="0"/>
          <w:color w:val="auto"/>
          <w:kern w:val="2"/>
          <w:sz w:val="24"/>
          <w:szCs w:val="24"/>
          <w:highlight w:val="none"/>
          <w:lang w:val="en-US" w:eastAsia="zh-CN" w:bidi="ar-SA"/>
        </w:rPr>
        <w:t>附件2：项目需求</w:t>
      </w:r>
      <w:bookmarkEnd w:id="0"/>
      <w:bookmarkStart w:id="72" w:name="_GoBack"/>
      <w:bookmarkEnd w:id="72"/>
    </w:p>
    <w:p w14:paraId="50EDD7DB">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1" w:name="_Toc5736"/>
      <w:bookmarkStart w:id="2" w:name="_Toc23246"/>
      <w:bookmarkStart w:id="3" w:name="_Toc29772"/>
      <w:bookmarkStart w:id="4" w:name="_Toc24332"/>
      <w:bookmarkStart w:id="5" w:name="_Toc1575"/>
      <w:r>
        <w:rPr>
          <w:rFonts w:ascii="Times New Roman" w:hAnsi="黑体" w:eastAsia="黑体" w:cs="Times New Roman"/>
          <w:b w:val="0"/>
          <w:bCs w:val="0"/>
          <w:color w:val="auto"/>
          <w:kern w:val="2"/>
          <w:sz w:val="24"/>
          <w:szCs w:val="24"/>
          <w:highlight w:val="none"/>
          <w:lang w:val="en-US" w:eastAsia="zh-CN" w:bidi="ar-SA"/>
        </w:rPr>
        <w:t>项目介绍</w:t>
      </w:r>
      <w:bookmarkEnd w:id="1"/>
      <w:bookmarkEnd w:id="2"/>
      <w:bookmarkEnd w:id="3"/>
      <w:bookmarkEnd w:id="4"/>
      <w:bookmarkEnd w:id="5"/>
    </w:p>
    <w:p w14:paraId="3D685C16">
      <w:pPr>
        <w:keepNext/>
        <w:keepLines/>
        <w:pageBreakBefore w:val="0"/>
        <w:widowControl w:val="0"/>
        <w:kinsoku/>
        <w:wordWrap/>
        <w:overflowPunct/>
        <w:topLinePunct w:val="0"/>
        <w:autoSpaceDE/>
        <w:autoSpaceDN/>
        <w:bidi w:val="0"/>
        <w:adjustRightInd w:val="0"/>
        <w:snapToGrid/>
        <w:spacing w:before="0" w:beforeLines="0" w:after="0" w:afterLines="0" w:line="560" w:lineRule="exact"/>
        <w:ind w:firstLine="482" w:firstLineChars="200"/>
        <w:jc w:val="both"/>
        <w:textAlignment w:val="baseline"/>
        <w:outlineLvl w:val="1"/>
        <w:rPr>
          <w:rFonts w:hint="eastAsia" w:ascii="楷体_GB2312" w:hAnsi="楷体_GB2312" w:eastAsia="楷体_GB2312" w:cs="楷体_GB2312"/>
          <w:b/>
          <w:bCs/>
          <w:color w:val="auto"/>
          <w:kern w:val="2"/>
          <w:sz w:val="24"/>
          <w:szCs w:val="24"/>
          <w:highlight w:val="none"/>
          <w:lang w:val="en-US" w:eastAsia="zh-CN" w:bidi="ar-SA"/>
        </w:rPr>
      </w:pPr>
      <w:bookmarkStart w:id="6" w:name="_Toc20375"/>
      <w:bookmarkStart w:id="7" w:name="_Toc14418"/>
      <w:r>
        <w:rPr>
          <w:rFonts w:hint="eastAsia" w:ascii="楷体_GB2312" w:hAnsi="楷体_GB2312" w:eastAsia="楷体_GB2312" w:cs="楷体_GB2312"/>
          <w:b/>
          <w:bCs/>
          <w:color w:val="auto"/>
          <w:kern w:val="2"/>
          <w:sz w:val="24"/>
          <w:szCs w:val="24"/>
          <w:highlight w:val="none"/>
          <w:lang w:val="en-US" w:eastAsia="zh-CN" w:bidi="ar-SA"/>
        </w:rPr>
        <w:t>（一）项目背景概述。</w:t>
      </w:r>
    </w:p>
    <w:p w14:paraId="78712AD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代征信前置查询系统基于东华软件股份公司（以下简称“东华软件”）的征信查询产品开发建设，于2020年在全行范围内投入使用，提供征信报告查询以及各类增值服务，目前已经成为采购人各项信贷业务贷前、贷中、贷后管理的关键环节。采购人拥有二代征信前置查询系统客户化部分的源代码，无核心产品软件源代码。</w:t>
      </w:r>
    </w:p>
    <w:p w14:paraId="7D42D59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为满足中国进出口银行二代征信前置查询系统的信息技术应用创新改造需求，拟启动本项目。本项目为新增项目，过往项目情况如下：</w:t>
      </w:r>
    </w:p>
    <w:tbl>
      <w:tblPr>
        <w:tblStyle w:val="2"/>
        <w:tblW w:w="4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3352"/>
      </w:tblGrid>
      <w:tr w14:paraId="257E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27" w:type="dxa"/>
            <w:shd w:val="clear" w:color="auto" w:fill="FFFFFF"/>
            <w:vAlign w:val="center"/>
          </w:tcPr>
          <w:p w14:paraId="586734B0">
            <w:pPr>
              <w:bidi w:val="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color w:val="auto"/>
                <w:sz w:val="24"/>
                <w:szCs w:val="24"/>
                <w:highlight w:val="none"/>
                <w:vertAlign w:val="baseline"/>
                <w:lang w:val="en-US" w:eastAsia="zh-CN"/>
              </w:rPr>
              <w:t>年度</w:t>
            </w:r>
          </w:p>
        </w:tc>
        <w:tc>
          <w:tcPr>
            <w:tcW w:w="3352" w:type="dxa"/>
            <w:shd w:val="clear" w:color="auto" w:fill="FFFFFF"/>
            <w:vAlign w:val="center"/>
          </w:tcPr>
          <w:p w14:paraId="338D78E5">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项目</w:t>
            </w:r>
            <w:r>
              <w:rPr>
                <w:rFonts w:hint="eastAsia" w:ascii="仿宋_GB2312" w:hAnsi="仿宋_GB2312" w:eastAsia="仿宋_GB2312" w:cs="仿宋_GB2312"/>
                <w:b/>
                <w:color w:val="auto"/>
                <w:sz w:val="24"/>
                <w:szCs w:val="24"/>
                <w:highlight w:val="none"/>
              </w:rPr>
              <w:t>名称</w:t>
            </w:r>
          </w:p>
        </w:tc>
      </w:tr>
      <w:tr w14:paraId="0AFE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7" w:type="dxa"/>
            <w:tcBorders>
              <w:top w:val="single" w:color="auto" w:sz="4" w:space="0"/>
              <w:left w:val="single" w:color="auto" w:sz="4" w:space="0"/>
              <w:bottom w:val="single" w:color="auto" w:sz="4" w:space="0"/>
              <w:right w:val="single" w:color="auto" w:sz="4" w:space="0"/>
            </w:tcBorders>
            <w:vAlign w:val="center"/>
          </w:tcPr>
          <w:p w14:paraId="4F4E31E0">
            <w:pPr>
              <w:bidi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2022</w:t>
            </w:r>
          </w:p>
        </w:tc>
        <w:tc>
          <w:tcPr>
            <w:tcW w:w="3352" w:type="dxa"/>
            <w:tcBorders>
              <w:top w:val="single" w:color="auto" w:sz="4" w:space="0"/>
              <w:left w:val="single" w:color="auto" w:sz="4" w:space="0"/>
              <w:bottom w:val="single" w:color="auto" w:sz="4" w:space="0"/>
              <w:right w:val="single" w:color="auto" w:sz="4" w:space="0"/>
            </w:tcBorders>
            <w:vAlign w:val="center"/>
          </w:tcPr>
          <w:p w14:paraId="2FD9C2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二代征信前置查询</w:t>
            </w:r>
            <w:r>
              <w:rPr>
                <w:rFonts w:hint="eastAsia" w:ascii="仿宋_GB2312" w:hAnsi="仿宋_GB2312" w:eastAsia="仿宋_GB2312" w:cs="仿宋_GB2312"/>
                <w:color w:val="auto"/>
                <w:sz w:val="24"/>
                <w:szCs w:val="24"/>
                <w:highlight w:val="none"/>
              </w:rPr>
              <w:t>系统</w:t>
            </w:r>
            <w:r>
              <w:rPr>
                <w:rFonts w:hint="eastAsia" w:ascii="仿宋_GB2312" w:hAnsi="仿宋_GB2312" w:eastAsia="仿宋_GB2312" w:cs="仿宋_GB2312"/>
                <w:color w:val="auto"/>
                <w:sz w:val="24"/>
                <w:szCs w:val="24"/>
                <w:highlight w:val="none"/>
                <w:lang w:val="en-US" w:eastAsia="zh-CN"/>
              </w:rPr>
              <w:t>2022年驻场开发</w:t>
            </w:r>
            <w:r>
              <w:rPr>
                <w:rFonts w:hint="eastAsia" w:ascii="仿宋_GB2312" w:hAnsi="仿宋_GB2312" w:eastAsia="仿宋_GB2312" w:cs="仿宋_GB2312"/>
                <w:color w:val="auto"/>
                <w:sz w:val="24"/>
                <w:szCs w:val="24"/>
                <w:highlight w:val="none"/>
              </w:rPr>
              <w:t>服务项目</w:t>
            </w:r>
          </w:p>
        </w:tc>
      </w:tr>
      <w:tr w14:paraId="6818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7" w:type="dxa"/>
            <w:tcBorders>
              <w:top w:val="single" w:color="auto" w:sz="4" w:space="0"/>
              <w:left w:val="single" w:color="auto" w:sz="4" w:space="0"/>
              <w:bottom w:val="single" w:color="auto" w:sz="4" w:space="0"/>
              <w:right w:val="single" w:color="auto" w:sz="4" w:space="0"/>
            </w:tcBorders>
            <w:vAlign w:val="center"/>
          </w:tcPr>
          <w:p w14:paraId="7EA3D287">
            <w:pPr>
              <w:bidi w:val="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2020</w:t>
            </w:r>
          </w:p>
        </w:tc>
        <w:tc>
          <w:tcPr>
            <w:tcW w:w="3352" w:type="dxa"/>
            <w:tcBorders>
              <w:top w:val="single" w:color="auto" w:sz="4" w:space="0"/>
              <w:left w:val="single" w:color="auto" w:sz="4" w:space="0"/>
              <w:bottom w:val="single" w:color="auto" w:sz="4" w:space="0"/>
              <w:right w:val="single" w:color="auto" w:sz="4" w:space="0"/>
            </w:tcBorders>
            <w:vAlign w:val="center"/>
          </w:tcPr>
          <w:p w14:paraId="1CAAF7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二代征信前置查询</w:t>
            </w:r>
            <w:r>
              <w:rPr>
                <w:rFonts w:hint="eastAsia" w:ascii="仿宋_GB2312" w:hAnsi="仿宋_GB2312" w:eastAsia="仿宋_GB2312" w:cs="仿宋_GB2312"/>
                <w:color w:val="auto"/>
                <w:sz w:val="24"/>
                <w:szCs w:val="24"/>
                <w:highlight w:val="none"/>
              </w:rPr>
              <w:t>系统</w:t>
            </w:r>
            <w:r>
              <w:rPr>
                <w:rFonts w:hint="eastAsia" w:ascii="仿宋_GB2312" w:hAnsi="仿宋_GB2312" w:eastAsia="仿宋_GB2312" w:cs="仿宋_GB2312"/>
                <w:color w:val="auto"/>
                <w:sz w:val="24"/>
                <w:szCs w:val="24"/>
                <w:highlight w:val="none"/>
                <w:lang w:val="en-US" w:eastAsia="zh-CN"/>
              </w:rPr>
              <w:t>配合IT蓝图建设改造项目</w:t>
            </w:r>
          </w:p>
        </w:tc>
      </w:tr>
      <w:tr w14:paraId="34EC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27" w:type="dxa"/>
            <w:tcBorders>
              <w:top w:val="single" w:color="auto" w:sz="4" w:space="0"/>
              <w:left w:val="single" w:color="auto" w:sz="4" w:space="0"/>
              <w:bottom w:val="single" w:color="auto" w:sz="4" w:space="0"/>
              <w:right w:val="single" w:color="auto" w:sz="4" w:space="0"/>
            </w:tcBorders>
            <w:vAlign w:val="center"/>
          </w:tcPr>
          <w:p w14:paraId="0F40B1EE">
            <w:pPr>
              <w:bidi w:val="0"/>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2019</w:t>
            </w:r>
          </w:p>
        </w:tc>
        <w:tc>
          <w:tcPr>
            <w:tcW w:w="3352" w:type="dxa"/>
            <w:tcBorders>
              <w:top w:val="single" w:color="auto" w:sz="4" w:space="0"/>
              <w:left w:val="single" w:color="auto" w:sz="4" w:space="0"/>
              <w:bottom w:val="single" w:color="auto" w:sz="4" w:space="0"/>
              <w:right w:val="single" w:color="auto" w:sz="4" w:space="0"/>
            </w:tcBorders>
            <w:vAlign w:val="center"/>
          </w:tcPr>
          <w:p w14:paraId="7036E1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二代征信前置查询系统建设项目</w:t>
            </w:r>
          </w:p>
        </w:tc>
      </w:tr>
    </w:tbl>
    <w:p w14:paraId="38368710">
      <w:pPr>
        <w:keepNext/>
        <w:keepLines/>
        <w:pageBreakBefore w:val="0"/>
        <w:widowControl w:val="0"/>
        <w:numPr>
          <w:ilvl w:val="0"/>
          <w:numId w:val="2"/>
        </w:numPr>
        <w:tabs>
          <w:tab w:val="left" w:pos="5272"/>
        </w:tabs>
        <w:kinsoku/>
        <w:wordWrap/>
        <w:overflowPunct/>
        <w:topLinePunct w:val="0"/>
        <w:autoSpaceDE/>
        <w:autoSpaceDN/>
        <w:bidi w:val="0"/>
        <w:adjustRightInd w:val="0"/>
        <w:snapToGrid/>
        <w:spacing w:before="0" w:beforeLines="0" w:after="0" w:afterLines="0" w:line="560" w:lineRule="exact"/>
        <w:ind w:firstLine="482" w:firstLineChars="200"/>
        <w:jc w:val="both"/>
        <w:textAlignment w:val="baseline"/>
        <w:outlineLvl w:val="1"/>
        <w:rPr>
          <w:rFonts w:hint="eastAsia" w:ascii="楷体_GB2312" w:hAnsi="楷体_GB2312" w:eastAsia="楷体_GB2312" w:cs="楷体_GB2312"/>
          <w:b/>
          <w:bCs/>
          <w:color w:val="auto"/>
          <w:kern w:val="2"/>
          <w:sz w:val="24"/>
          <w:szCs w:val="24"/>
          <w:highlight w:val="none"/>
          <w:lang w:val="en-US" w:eastAsia="zh-CN" w:bidi="ar-SA"/>
        </w:rPr>
      </w:pPr>
      <w:r>
        <w:rPr>
          <w:rFonts w:hint="eastAsia" w:ascii="楷体_GB2312" w:hAnsi="楷体_GB2312" w:eastAsia="楷体_GB2312" w:cs="楷体_GB2312"/>
          <w:b/>
          <w:bCs/>
          <w:color w:val="auto"/>
          <w:kern w:val="2"/>
          <w:sz w:val="24"/>
          <w:szCs w:val="24"/>
          <w:highlight w:val="none"/>
          <w:lang w:val="en-US" w:eastAsia="zh-CN" w:bidi="ar-SA"/>
        </w:rPr>
        <w:t>功能或目标。</w:t>
      </w:r>
      <w:r>
        <w:rPr>
          <w:rFonts w:hint="eastAsia" w:ascii="楷体_GB2312" w:hAnsi="楷体_GB2312" w:eastAsia="楷体_GB2312" w:cs="楷体_GB2312"/>
          <w:b/>
          <w:bCs/>
          <w:color w:val="auto"/>
          <w:kern w:val="2"/>
          <w:sz w:val="24"/>
          <w:szCs w:val="24"/>
          <w:highlight w:val="none"/>
          <w:lang w:val="en-US" w:eastAsia="zh-CN" w:bidi="ar-SA"/>
        </w:rPr>
        <w:tab/>
      </w:r>
    </w:p>
    <w:p w14:paraId="4878597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完成对现有二代征信前置查询系统产品的全栈信息技术应用创新改造。</w:t>
      </w:r>
    </w:p>
    <w:p w14:paraId="6CF3C04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内容主要包括根据信息技术应用创新基础软硬件要求（数据库、中间件、硬件及操作系统等）对二代征信查前置询系统进行适配改造，并完成全栈创新环境下的数据迁移、功能适配、上线部署、切换保障等工作</w:t>
      </w:r>
      <w:r>
        <w:rPr>
          <w:rFonts w:hint="default" w:ascii="仿宋_GB2312" w:hAnsi="仿宋_GB2312" w:eastAsia="仿宋_GB2312" w:cs="仿宋_GB2312"/>
          <w:color w:val="auto"/>
          <w:sz w:val="24"/>
          <w:szCs w:val="24"/>
          <w:highlight w:val="none"/>
          <w:lang w:val="en-US" w:eastAsia="zh-CN"/>
        </w:rPr>
        <w:t>。</w:t>
      </w:r>
    </w:p>
    <w:bookmarkEnd w:id="6"/>
    <w:bookmarkEnd w:id="7"/>
    <w:p w14:paraId="5F0C97BC">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8" w:name="_Toc13731"/>
      <w:bookmarkStart w:id="9" w:name="_Toc9197"/>
      <w:bookmarkStart w:id="10" w:name="_Toc14009"/>
      <w:bookmarkStart w:id="11" w:name="_Toc13865"/>
      <w:bookmarkStart w:id="12" w:name="_Toc32238"/>
      <w:r>
        <w:rPr>
          <w:rFonts w:ascii="Times New Roman" w:hAnsi="黑体" w:eastAsia="黑体" w:cs="Times New Roman"/>
          <w:b w:val="0"/>
          <w:bCs w:val="0"/>
          <w:color w:val="auto"/>
          <w:kern w:val="2"/>
          <w:sz w:val="24"/>
          <w:szCs w:val="24"/>
          <w:highlight w:val="none"/>
          <w:lang w:val="en-US" w:eastAsia="zh-CN" w:bidi="ar-SA"/>
        </w:rPr>
        <w:t>服务一览表</w:t>
      </w:r>
      <w:bookmarkEnd w:id="8"/>
      <w:bookmarkEnd w:id="9"/>
      <w:bookmarkEnd w:id="10"/>
      <w:bookmarkEnd w:id="11"/>
      <w:bookmarkEnd w:id="12"/>
    </w:p>
    <w:p w14:paraId="782BB01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完成数据库替换及数据迁移、中间件替换、操作系统替换。针对服务器和终端的底层软硬件的替代,对系统的持久层、业务逻辑层和展现层的相关交互代码进行适配改造。包括针对持久层进行数据库连接方式的改造，以及对操作数据库的表数据增加、删除、修改、查询、视图查询、存储过程调用等进行适配。</w:t>
      </w:r>
    </w:p>
    <w:p w14:paraId="07F3A69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完成系统功能、浏览器、服务器等的适配改造。针对逻辑层进行适配改造，包括在集群环境中按预期执行业务逻辑，按预期操作和调用相关基础业务接口等。针对通讯层进行改造，以解决子服务间的服务通讯问题。</w:t>
      </w:r>
    </w:p>
    <w:p w14:paraId="2AD100E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（三）与适配改造相关的编写实施方案、适配开发、数据迁移、测试验收、切换上线、应用维护支持等工作。</w:t>
      </w:r>
    </w:p>
    <w:p w14:paraId="5C00EF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（四）其他信息技术应用创新改造工作实施中涉及的工作事项。</w:t>
      </w:r>
    </w:p>
    <w:p w14:paraId="29B3016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（五）提供12个月免费保修服务。</w:t>
      </w:r>
    </w:p>
    <w:p w14:paraId="35B95D22">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13" w:name="_Toc28127"/>
      <w:bookmarkStart w:id="14" w:name="_Toc20903"/>
      <w:bookmarkStart w:id="15" w:name="_Toc25610"/>
      <w:bookmarkStart w:id="16" w:name="_Toc31571"/>
      <w:bookmarkStart w:id="17" w:name="_Toc25023"/>
      <w:bookmarkStart w:id="18" w:name="_Toc32236"/>
      <w:r>
        <w:rPr>
          <w:rFonts w:ascii="Times New Roman" w:hAnsi="黑体" w:eastAsia="黑体" w:cs="Times New Roman"/>
          <w:b w:val="0"/>
          <w:bCs w:val="0"/>
          <w:color w:val="auto"/>
          <w:kern w:val="2"/>
          <w:sz w:val="24"/>
          <w:szCs w:val="24"/>
          <w:highlight w:val="none"/>
          <w:lang w:val="en-US" w:eastAsia="zh-CN" w:bidi="ar-SA"/>
        </w:rPr>
        <w:t>业务要求</w:t>
      </w:r>
      <w:bookmarkEnd w:id="13"/>
      <w:bookmarkEnd w:id="14"/>
      <w:bookmarkEnd w:id="15"/>
      <w:bookmarkEnd w:id="16"/>
      <w:bookmarkEnd w:id="17"/>
    </w:p>
    <w:p w14:paraId="3CC4990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本项目为技术改造项目，无业务要求。</w:t>
      </w:r>
    </w:p>
    <w:p w14:paraId="4DE502A9">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19" w:name="_Toc13189"/>
      <w:bookmarkStart w:id="20" w:name="_Toc11210"/>
      <w:bookmarkStart w:id="21" w:name="_Toc15616"/>
      <w:bookmarkStart w:id="22" w:name="_Toc18506"/>
      <w:r>
        <w:rPr>
          <w:rFonts w:ascii="Times New Roman" w:hAnsi="黑体" w:eastAsia="黑体" w:cs="Times New Roman"/>
          <w:b w:val="0"/>
          <w:bCs w:val="0"/>
          <w:color w:val="auto"/>
          <w:kern w:val="2"/>
          <w:sz w:val="24"/>
          <w:szCs w:val="24"/>
          <w:highlight w:val="none"/>
          <w:lang w:val="en-US" w:eastAsia="zh-CN" w:bidi="ar-SA"/>
        </w:rPr>
        <w:t>技术要求</w:t>
      </w:r>
      <w:bookmarkEnd w:id="18"/>
      <w:bookmarkEnd w:id="19"/>
      <w:bookmarkEnd w:id="20"/>
      <w:bookmarkEnd w:id="21"/>
      <w:bookmarkEnd w:id="22"/>
    </w:p>
    <w:p w14:paraId="280667B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1.数据库适配</w:t>
      </w:r>
    </w:p>
    <w:p w14:paraId="266EF8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需为关系型数据库，不采用开源软件，要求适配goldenDB、达梦、TDSql及GaussDB/openGauss等国内主流数据库软件。完成数据库适配改造，包括库表结构DDL改造、SQL语句调整、映射替换、重构SQL语句、重构、存储过程改造等工作。</w:t>
      </w:r>
    </w:p>
    <w:p w14:paraId="0EFDA9E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2.中间件适配</w:t>
      </w:r>
    </w:p>
    <w:p w14:paraId="56E8B87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完成国产中间件适配改造，要求适配东方通或宝兰德等国内主流中间件软件。</w:t>
      </w:r>
    </w:p>
    <w:p w14:paraId="12FCE69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3.浏览器适配</w:t>
      </w:r>
    </w:p>
    <w:p w14:paraId="370208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要求兼容奇安信安全浏览器个人版和360安全浏览器个人版，同时需支持Windows操作系统终端的Chrome浏览器。</w:t>
      </w:r>
    </w:p>
    <w:p w14:paraId="2B00320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4.硬件及操作系统：</w:t>
      </w:r>
    </w:p>
    <w:p w14:paraId="245EF6C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服务器：采用基于鲲鹏ARM、海光X86等架构的硬件产品；</w:t>
      </w:r>
    </w:p>
    <w:p w14:paraId="6062D05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桌面终端：采用飞腾和兆芯CPU架构终端。</w:t>
      </w:r>
    </w:p>
    <w:p w14:paraId="609BB88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服务器操作系统：采用麒麟KYLIN Linux Advanced Server V10或统信UOS V20。</w:t>
      </w:r>
    </w:p>
    <w:p w14:paraId="55EAE85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桌面操作系统：采用银河麒麟桌面操作系统 V10 SP1 2203及以上版本和统信桌面操作系统 V20 专业版1050及以上版本。</w:t>
      </w:r>
    </w:p>
    <w:p w14:paraId="62C4CD1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5.信创软硬件版本以入场后甲方实际情况为准。</w:t>
      </w:r>
    </w:p>
    <w:p w14:paraId="40F6365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6.数据迁移</w:t>
      </w:r>
    </w:p>
    <w:p w14:paraId="18A2360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完成数据迁移方案制定、工具开发、数据迁移等工作。</w:t>
      </w:r>
    </w:p>
    <w:p w14:paraId="3FD75C69">
      <w:pPr>
        <w:widowControl w:val="0"/>
        <w:adjustRightInd w:val="0"/>
        <w:spacing w:line="560" w:lineRule="exact"/>
        <w:ind w:firstLine="480"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7.供应商应对本项目的需求内容以及范围进行充分和正确的理解，并且保证在实施方案中体现的软件、硬件、设计方案与实施服务是完备和可行的。</w:t>
      </w:r>
    </w:p>
    <w:p w14:paraId="2C383C77">
      <w:pPr>
        <w:widowControl w:val="0"/>
        <w:adjustRightInd w:val="0"/>
        <w:spacing w:line="560" w:lineRule="exact"/>
        <w:ind w:firstLine="480"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8.供应商在实施过程中若发现有与其自身解决方案有关的遗漏或不可行，应首先向甲方提出解决方案，在甲方同意后及时解决。若供应商的解决方案与甲方的总体架构有冲突或影响其它关联项目，则甲方有最终的建议权与否决权，供应商须按照甲方决定的方案和计划予以完成。</w:t>
      </w:r>
    </w:p>
    <w:p w14:paraId="09C4B0BF">
      <w:pPr>
        <w:widowControl w:val="0"/>
        <w:adjustRightInd w:val="0"/>
        <w:spacing w:line="560" w:lineRule="exact"/>
        <w:ind w:firstLine="480"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9.供应商能够满足甲方在项目实施过程中对开发、测试的要求，并支持通过开发实现对未来业务和技术功能的扩展。</w:t>
      </w:r>
    </w:p>
    <w:p w14:paraId="21813E61">
      <w:pPr>
        <w:widowControl w:val="0"/>
        <w:adjustRightInd w:val="0"/>
        <w:spacing w:line="560" w:lineRule="exact"/>
        <w:ind w:firstLine="480"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10.供应商在项目的需求阶段、设计阶段、开发阶段、系统集成测试阶段、用户验收测试阶段、投产准备阶段完成后，以及保修期内每次变更前，应按照甲方配置管理要求，正式向甲方提交各阶段交付物的最终版本。各阶段交付物的过程版本应由供应商自行妥善管理，并形成相应的需求基线、设计基线、开发基线、系统集成测试基线、用户验收测试基线、投产基线、运行维护基线（保修期内）等。</w:t>
      </w:r>
    </w:p>
    <w:p w14:paraId="1BECC579">
      <w:pPr>
        <w:widowControl w:val="0"/>
        <w:spacing w:line="400" w:lineRule="exact"/>
        <w:ind w:firstLine="480" w:firstLineChars="200"/>
        <w:jc w:val="both"/>
        <w:rPr>
          <w:rFonts w:hint="eastAsia" w:ascii="Times New Roman" w:hAnsi="Times New Roman" w:eastAsia="仿宋" w:cs="Times New Roman"/>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11.供应商提交的代码应满足甲方漏洞扫描及渗透性测试要求。</w:t>
      </w:r>
    </w:p>
    <w:p w14:paraId="4F866C16">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hint="default" w:ascii="Times New Roman" w:hAnsi="黑体" w:eastAsia="黑体" w:cs="Times New Roman"/>
          <w:b w:val="0"/>
          <w:bCs w:val="0"/>
          <w:color w:val="auto"/>
          <w:kern w:val="2"/>
          <w:sz w:val="24"/>
          <w:szCs w:val="24"/>
          <w:highlight w:val="none"/>
          <w:lang w:val="en-US" w:eastAsia="zh-CN" w:bidi="ar-SA"/>
        </w:rPr>
      </w:pPr>
      <w:bookmarkStart w:id="23" w:name="_Toc2349"/>
      <w:bookmarkStart w:id="24" w:name="_Toc17506"/>
      <w:bookmarkStart w:id="25" w:name="_Toc8561"/>
      <w:bookmarkStart w:id="26" w:name="_Toc15283"/>
      <w:bookmarkStart w:id="27" w:name="_Toc22237"/>
      <w:r>
        <w:rPr>
          <w:rFonts w:hint="default" w:ascii="Times New Roman" w:hAnsi="黑体" w:eastAsia="黑体" w:cs="Times New Roman"/>
          <w:b w:val="0"/>
          <w:bCs w:val="0"/>
          <w:color w:val="auto"/>
          <w:kern w:val="2"/>
          <w:sz w:val="24"/>
          <w:szCs w:val="24"/>
          <w:highlight w:val="none"/>
          <w:lang w:val="en-US" w:eastAsia="zh-CN" w:bidi="ar-SA"/>
        </w:rPr>
        <w:t>服务</w:t>
      </w:r>
      <w:r>
        <w:rPr>
          <w:rFonts w:ascii="Times New Roman" w:hAnsi="黑体" w:eastAsia="黑体" w:cs="Times New Roman"/>
          <w:b w:val="0"/>
          <w:bCs w:val="0"/>
          <w:color w:val="auto"/>
          <w:kern w:val="2"/>
          <w:sz w:val="24"/>
          <w:szCs w:val="24"/>
          <w:highlight w:val="none"/>
          <w:lang w:val="en-US" w:eastAsia="zh-CN" w:bidi="ar-SA"/>
        </w:rPr>
        <w:t>要求</w:t>
      </w:r>
      <w:bookmarkEnd w:id="23"/>
      <w:bookmarkEnd w:id="24"/>
      <w:bookmarkEnd w:id="25"/>
      <w:bookmarkEnd w:id="26"/>
      <w:bookmarkEnd w:id="27"/>
    </w:p>
    <w:p w14:paraId="43E9454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服务要求是指采购标的需满足的服务标准、期限、效率等要求以及其他服务要求。</w:t>
      </w:r>
    </w:p>
    <w:p w14:paraId="09908F4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服务要求根据重要性分为“★”、“＃”和一般性指标。★代表实质性要求，不满足该指标项将导致投标被拒绝，＃代表重要性参数，无标识则表示一般指标项。</w:t>
      </w:r>
    </w:p>
    <w:tbl>
      <w:tblPr>
        <w:tblStyle w:val="2"/>
        <w:tblW w:w="8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332"/>
        <w:gridCol w:w="849"/>
        <w:gridCol w:w="5730"/>
      </w:tblGrid>
      <w:tr w14:paraId="170D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09FEF525">
            <w:pPr>
              <w:spacing w:line="24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序号</w:t>
            </w:r>
          </w:p>
        </w:tc>
        <w:tc>
          <w:tcPr>
            <w:tcW w:w="1332" w:type="dxa"/>
            <w:vAlign w:val="center"/>
          </w:tcPr>
          <w:p w14:paraId="4BD4D187">
            <w:pPr>
              <w:spacing w:line="24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服务要求项目</w:t>
            </w:r>
          </w:p>
        </w:tc>
        <w:tc>
          <w:tcPr>
            <w:tcW w:w="849" w:type="dxa"/>
            <w:vAlign w:val="center"/>
          </w:tcPr>
          <w:p w14:paraId="28A43D5D">
            <w:pPr>
              <w:spacing w:line="24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重要性</w:t>
            </w:r>
          </w:p>
        </w:tc>
        <w:tc>
          <w:tcPr>
            <w:tcW w:w="5730" w:type="dxa"/>
            <w:vAlign w:val="center"/>
          </w:tcPr>
          <w:p w14:paraId="253814A5">
            <w:pPr>
              <w:spacing w:line="240" w:lineRule="auto"/>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服务要求标准</w:t>
            </w:r>
          </w:p>
        </w:tc>
      </w:tr>
      <w:tr w14:paraId="05FC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38B5AD8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1332" w:type="dxa"/>
            <w:vAlign w:val="center"/>
          </w:tcPr>
          <w:p w14:paraId="14146A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产品要求</w:t>
            </w:r>
          </w:p>
        </w:tc>
        <w:tc>
          <w:tcPr>
            <w:tcW w:w="849" w:type="dxa"/>
            <w:vAlign w:val="center"/>
          </w:tcPr>
          <w:p w14:paraId="049276F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5730" w:type="dxa"/>
            <w:vAlign w:val="center"/>
          </w:tcPr>
          <w:p w14:paraId="34E5117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w:t>
            </w:r>
            <w:r>
              <w:rPr>
                <w:rFonts w:hint="eastAsia" w:ascii="仿宋_GB2312" w:hAnsi="仿宋_GB2312" w:eastAsia="仿宋_GB2312" w:cs="仿宋_GB2312"/>
                <w:color w:val="auto"/>
                <w:sz w:val="24"/>
                <w:szCs w:val="24"/>
                <w:highlight w:val="none"/>
                <w:lang w:eastAsia="zh-CN"/>
              </w:rPr>
              <w:t>供应商</w:t>
            </w:r>
            <w:r>
              <w:rPr>
                <w:rFonts w:hint="eastAsia" w:ascii="仿宋_GB2312" w:hAnsi="仿宋_GB2312" w:eastAsia="仿宋_GB2312" w:cs="仿宋_GB2312"/>
                <w:color w:val="auto"/>
                <w:sz w:val="24"/>
                <w:szCs w:val="24"/>
                <w:highlight w:val="none"/>
              </w:rPr>
              <w:t>必须对</w:t>
            </w:r>
            <w:r>
              <w:rPr>
                <w:rFonts w:hint="eastAsia" w:ascii="仿宋_GB2312" w:hAnsi="仿宋_GB2312" w:eastAsia="仿宋_GB2312" w:cs="仿宋_GB2312"/>
                <w:color w:val="auto"/>
                <w:sz w:val="24"/>
                <w:szCs w:val="24"/>
                <w:highlight w:val="none"/>
                <w:lang w:val="en-US" w:eastAsia="zh-CN"/>
              </w:rPr>
              <w:t>本项目涉及的</w:t>
            </w:r>
            <w:r>
              <w:rPr>
                <w:rFonts w:hint="eastAsia" w:ascii="仿宋_GB2312" w:hAnsi="仿宋_GB2312" w:eastAsia="仿宋_GB2312" w:cs="仿宋_GB2312"/>
                <w:color w:val="auto"/>
                <w:sz w:val="24"/>
                <w:szCs w:val="24"/>
                <w:highlight w:val="none"/>
              </w:rPr>
              <w:t>产品拥有完全的知识产权；使用非自身产品的，必须有原厂商对该产品的授权经销商或者有原厂商对本项目的书面授权。（第三方授权有关信息应明确告知甲方，包括被授权产品名称，授权方式，授权期限、授权费等）</w:t>
            </w:r>
          </w:p>
        </w:tc>
      </w:tr>
      <w:tr w14:paraId="12B1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6EDA444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1332" w:type="dxa"/>
            <w:vAlign w:val="center"/>
          </w:tcPr>
          <w:p w14:paraId="0B878A8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highlight w:val="none"/>
              </w:rPr>
              <w:t>故障处理</w:t>
            </w:r>
          </w:p>
        </w:tc>
        <w:tc>
          <w:tcPr>
            <w:tcW w:w="849" w:type="dxa"/>
            <w:vAlign w:val="center"/>
          </w:tcPr>
          <w:p w14:paraId="08063C4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p>
        </w:tc>
        <w:tc>
          <w:tcPr>
            <w:tcW w:w="5730" w:type="dxa"/>
            <w:vAlign w:val="center"/>
          </w:tcPr>
          <w:p w14:paraId="6899FFBC">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left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供应商通过标准化的操作流程进行软件的故障诊断和排除；配合其他条线进行故障处理。</w:t>
            </w:r>
          </w:p>
          <w:p w14:paraId="57A4D1AF">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left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响应时限：（小于1/4）小时</w:t>
            </w:r>
          </w:p>
          <w:p w14:paraId="348FD47C">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left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到达现场时限：（&lt;2）小时</w:t>
            </w:r>
          </w:p>
          <w:p w14:paraId="6F25D586">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left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解决问题时限：（&lt;4）小时</w:t>
            </w:r>
          </w:p>
        </w:tc>
      </w:tr>
      <w:tr w14:paraId="40FE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75D173C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1332" w:type="dxa"/>
            <w:vAlign w:val="center"/>
          </w:tcPr>
          <w:p w14:paraId="1B3D88A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总体要求</w:t>
            </w:r>
          </w:p>
        </w:tc>
        <w:tc>
          <w:tcPr>
            <w:tcW w:w="849" w:type="dxa"/>
            <w:vAlign w:val="center"/>
          </w:tcPr>
          <w:p w14:paraId="678E2EB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p>
        </w:tc>
        <w:tc>
          <w:tcPr>
            <w:tcW w:w="5730" w:type="dxa"/>
            <w:vAlign w:val="center"/>
          </w:tcPr>
          <w:p w14:paraId="5467EFC5">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针对进出口银行业务特点阐述系统实施方法论，并结合方法论，描述完整、可行的系统整体技术方案、实施方案，包括但不限于项目管理、需求确认、系统设计、系统开发、系统测试、系统切换、系统推广等方案，以及试运行策略。</w:t>
            </w:r>
          </w:p>
          <w:p w14:paraId="2C4ECF38">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要求完成项目实施、测试及系统投产工作，并阐述系统的项目整体技术方案、实施方案、测试方案、系统投产方案，根据需要附相应模板。对于其中进出口银行有模板要求的交付件，应使用要求的模版进行编写。</w:t>
            </w:r>
          </w:p>
          <w:p w14:paraId="39EF2A15">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阐述项目实施的组织架构（其中应包含进出口银行人员），并描述实施预期的时间进度表，提供具有明确里程碑的项目实施计划。</w:t>
            </w:r>
          </w:p>
          <w:p w14:paraId="5629777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要求提供初步的验收测试计划以及充分的验收标准，并提供系统集成测试和投产测试的测试方案、测试案例和测试工具。</w:t>
            </w:r>
          </w:p>
          <w:p w14:paraId="4D25400D">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供应商在本项目实施过程中，须服从进出口银行项目管理机构的管理。</w:t>
            </w:r>
          </w:p>
          <w:p w14:paraId="2685EA02">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要求厂商提供本项目中所有交付物清单（包括但不限于项目文档、产品技术文档（包括平台/系统相关的接口和集成技术规范、UI设计规范等规范类文件，与整体技术方案一并纳入评审范围。如需外部专家参加评审的，供应商负责外部专家评审费用）、用户手册和系统管理手册）。</w:t>
            </w:r>
          </w:p>
          <w:p w14:paraId="3D7FD194">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阐述系统故障应急预案，确保系统在突发状况后能够及时发现，补救，恢复。</w:t>
            </w:r>
          </w:p>
          <w:p w14:paraId="38E8EB17">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如有涉及第三方产品及服务，阐述相关产品及服务内容，报价及后期维护方式和费用。</w:t>
            </w:r>
          </w:p>
          <w:p w14:paraId="43C67CA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在技术方案评审阶段，提供软件物料清单（SBOM），如涉及开源软件引入和使用的，应按照采购人要求开展引入评审和使用备案后方可使用。提供后续对开源软件的维护及升级支持，纳入维保范围。</w:t>
            </w:r>
          </w:p>
          <w:p w14:paraId="400BC42E">
            <w:pPr>
              <w:keepNext w:val="0"/>
              <w:keepLines w:val="0"/>
              <w:pageBreakBefore w:val="0"/>
              <w:widowControl w:val="0"/>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项目所涉及系统的新建及升级改造应遵循采购人企业级架构原则进行系统设计，制定系统架构方案。包括但不限于按照采购人联机、批量、消息等接口标准与行内系统进行交互；可对接采购人统一的用户认证系统，平台内部应用实现单点登录功能；Web页面应基于chrome内核浏览器进行开发等。</w:t>
            </w:r>
          </w:p>
        </w:tc>
      </w:tr>
      <w:tr w14:paraId="52A3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59A5268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1332" w:type="dxa"/>
            <w:vAlign w:val="center"/>
          </w:tcPr>
          <w:p w14:paraId="5B59CD9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项目实施要求</w:t>
            </w:r>
          </w:p>
        </w:tc>
        <w:tc>
          <w:tcPr>
            <w:tcW w:w="849" w:type="dxa"/>
            <w:vAlign w:val="center"/>
          </w:tcPr>
          <w:p w14:paraId="3505A51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5730" w:type="dxa"/>
            <w:vAlign w:val="center"/>
          </w:tcPr>
          <w:p w14:paraId="1D614260">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以下列出了本项目实施过程中重要的实施任务，供应商应承诺完成所有实施任务，并遵守其中相关约定。相关要求参照项目工作说明书。</w:t>
            </w:r>
          </w:p>
          <w:p w14:paraId="536FE2B4">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（一）项目管理</w:t>
            </w:r>
          </w:p>
          <w:p w14:paraId="2A9F89F8">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负责制定项目计划，并按照采购人的要求进行必要的调整。监督和控制项目进度。</w:t>
            </w:r>
          </w:p>
          <w:p w14:paraId="534C692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负责管理安排项目资源。</w:t>
            </w:r>
          </w:p>
          <w:p w14:paraId="196CAB5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负责管理分包商/供应商（如适用）在项目的各项任务执行、人力资源、相互工作配合与交付承诺。</w:t>
            </w:r>
          </w:p>
          <w:p w14:paraId="4367F587">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负责管理项目范围和需求变更，并协调变更要求的签署。</w:t>
            </w:r>
          </w:p>
          <w:p w14:paraId="1085151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负责实施项目配置和交付管理以及项目质量管理。</w:t>
            </w:r>
          </w:p>
          <w:p w14:paraId="2E522A7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负责项目问题管理和项目风险管理。</w:t>
            </w:r>
          </w:p>
          <w:p w14:paraId="6C1CDDB2">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负责与进出口银行进行沟通并按照要求进行工作报告。</w:t>
            </w:r>
          </w:p>
          <w:p w14:paraId="4529CC73">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（二）业务功能分析和设计</w:t>
            </w:r>
          </w:p>
          <w:p w14:paraId="55F36D7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负责对本项目需求梳理细化。</w:t>
            </w:r>
          </w:p>
          <w:p w14:paraId="15658D25">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负责业务需求差异分析和评估。</w:t>
            </w:r>
          </w:p>
          <w:p w14:paraId="4555790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负责业务功能分析和制定。</w:t>
            </w:r>
          </w:p>
          <w:p w14:paraId="14D8A09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负责编写需求规格说明书。</w:t>
            </w:r>
          </w:p>
          <w:p w14:paraId="01A320B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负责提出与周边系统的集成解决方案。</w:t>
            </w:r>
          </w:p>
          <w:p w14:paraId="664DC5E3">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负责系统配置设计、界面设计、扩展功能开发设计、数据转换设计等。</w:t>
            </w:r>
          </w:p>
          <w:p w14:paraId="389A4740">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（三）技术架构分析和设计</w:t>
            </w:r>
          </w:p>
          <w:p w14:paraId="549BC2A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负责制定项目软硬件、网络等技术架构方案，负责设计网络结构、设计硬件和主机系统结构、设计数据库结构、设计存储结构、设计备份和灾难恢复结构、以及必要的分支机构设备规格与分支机构环境。</w:t>
            </w:r>
          </w:p>
          <w:p w14:paraId="513B8DC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负责制定运维管理方案。</w:t>
            </w:r>
          </w:p>
          <w:p w14:paraId="69D39C4B">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负责分析接口定义并提出技术实现方案。</w:t>
            </w:r>
          </w:p>
          <w:p w14:paraId="513747E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负责评估与进出口银行总体技术架构的差异，并编写技术规格说明书。</w:t>
            </w:r>
          </w:p>
          <w:p w14:paraId="34386A9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负责提出开发与测试环境的构建方案。</w:t>
            </w:r>
          </w:p>
          <w:p w14:paraId="062304DB">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负责提出生产环境的构建方案。</w:t>
            </w:r>
          </w:p>
          <w:p w14:paraId="3A7B66E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负责编写技术设计说明书。</w:t>
            </w:r>
          </w:p>
          <w:p w14:paraId="2B6268FB">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（四）业务功能构建</w:t>
            </w:r>
          </w:p>
          <w:p w14:paraId="752999E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负责提出参数配置模版及配置方案。</w:t>
            </w:r>
          </w:p>
          <w:p w14:paraId="2D261A12">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负责进行客户化部分的详细设计，并编写详细设计说明书。</w:t>
            </w:r>
          </w:p>
          <w:p w14:paraId="33C8BDF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负责接口开发、扩展功能开发、数据转换开发。</w:t>
            </w:r>
          </w:p>
          <w:p w14:paraId="7AC14733">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负责计划、准备与执行单元测试。</w:t>
            </w:r>
          </w:p>
          <w:p w14:paraId="34571EC7">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负责确认单元测试结果并提交单元测试报告。</w:t>
            </w:r>
          </w:p>
          <w:p w14:paraId="079B89A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（五）技术架构构建</w:t>
            </w:r>
          </w:p>
          <w:p w14:paraId="0FD8F59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负责指派环境管理负责人，并负责开发环境的管理。</w:t>
            </w:r>
          </w:p>
          <w:p w14:paraId="051A1BD3">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负责测试环境的构建与确认。</w:t>
            </w:r>
          </w:p>
          <w:p w14:paraId="19F8B90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负责就测试环境管理流程和制度与进出口银行达成一致。</w:t>
            </w:r>
          </w:p>
          <w:p w14:paraId="6E85497D">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负责进行测试环境下的应用系统的安装和配置。</w:t>
            </w:r>
          </w:p>
          <w:p w14:paraId="13D1C8F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（六）产品测试和性能测试</w:t>
            </w:r>
          </w:p>
          <w:p w14:paraId="728F392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负责产品测试的计划、准备和执行。</w:t>
            </w:r>
          </w:p>
          <w:p w14:paraId="5AF1F604">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负责系统修补，并完成产品测试报告。</w:t>
            </w:r>
          </w:p>
          <w:p w14:paraId="213FB9A8">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负责性能测试的计划、准备和执行。</w:t>
            </w:r>
          </w:p>
          <w:p w14:paraId="45D18B2D">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负责系统调优和进一步的性能测试，并负责完成性能测试报告。</w:t>
            </w:r>
          </w:p>
          <w:p w14:paraId="5CFA6D4F">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（七）系统集成测试</w:t>
            </w:r>
          </w:p>
          <w:p w14:paraId="477FB8B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负责提出系统集成测试计划和方案。</w:t>
            </w:r>
          </w:p>
          <w:p w14:paraId="1288D2B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负责完成系统集成测试案例、测试脚本以及相关的测试数据。</w:t>
            </w:r>
          </w:p>
          <w:p w14:paraId="2CF4D5F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负责在进出口银行统一管理下执行系统集成测试，进行系统修补和必要的回归测试。</w:t>
            </w:r>
          </w:p>
          <w:p w14:paraId="316ED69B">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负责完成相应的系统集成测试报告。</w:t>
            </w:r>
          </w:p>
          <w:p w14:paraId="60A2AC8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（八）用户验收测试</w:t>
            </w:r>
          </w:p>
          <w:p w14:paraId="196D194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协助提出用户验收测试计划和方案。</w:t>
            </w:r>
          </w:p>
          <w:p w14:paraId="5FA4165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协助准备用户验收测试案例、测试脚本和测试数据。</w:t>
            </w:r>
          </w:p>
          <w:p w14:paraId="4DF4AC24">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协助执行用户验收测试。</w:t>
            </w:r>
          </w:p>
          <w:p w14:paraId="0C14A16D">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负责系统修补。</w:t>
            </w:r>
          </w:p>
          <w:p w14:paraId="340AE2D8">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协助进行回归测试、协助完成用户验收测试报告。</w:t>
            </w:r>
          </w:p>
          <w:p w14:paraId="347AB74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（九）投产和推广（包括投产、试运行、正式运行、最终验收）</w:t>
            </w:r>
          </w:p>
          <w:p w14:paraId="6D1A499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根据需要负责制定上线演练计划和方案。</w:t>
            </w:r>
          </w:p>
          <w:p w14:paraId="0588AFF2">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负责制定投产演练方案、运维测试方案，负责运维培训，配合行方完成投产演练和运维测试工作。</w:t>
            </w:r>
          </w:p>
          <w:p w14:paraId="376CD02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在进出口银行统一管理下执行上线演练。</w:t>
            </w:r>
          </w:p>
          <w:p w14:paraId="26B00AC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负责制定投产上线范围、制定系统（数据、业务）投产上线计划。</w:t>
            </w:r>
          </w:p>
          <w:p w14:paraId="0A460590">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负责制定投产上线操作方案、流程和策略，并制定应急和恢复方案。</w:t>
            </w:r>
          </w:p>
          <w:p w14:paraId="792A8237">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负责制定试运行方案、流程和策略，并制定应急和恢复方案。</w:t>
            </w:r>
          </w:p>
          <w:p w14:paraId="2D1448C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协助进出口银行进行推广文档编制。</w:t>
            </w:r>
          </w:p>
          <w:p w14:paraId="4172D55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协助进出口银行完成投产上线。</w:t>
            </w:r>
          </w:p>
          <w:p w14:paraId="78CD0410">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支持系统试运行工作。</w:t>
            </w:r>
          </w:p>
          <w:p w14:paraId="6F809BA5">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协助进出口银行完成系统最终验收。</w:t>
            </w:r>
          </w:p>
          <w:p w14:paraId="076AA99E">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（十）第三方测试（如进出口银行安排第三方测试）</w:t>
            </w:r>
          </w:p>
          <w:p w14:paraId="6C5D8EE6">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负责准备测试对象的搭建及调试。</w:t>
            </w:r>
          </w:p>
          <w:p w14:paraId="740D8591">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负责按第三方测试要求准备测试数据。</w:t>
            </w:r>
          </w:p>
          <w:p w14:paraId="3245F6CA">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为第三方测试提供技术支持。</w:t>
            </w:r>
          </w:p>
          <w:p w14:paraId="7AEA9669">
            <w:pPr>
              <w:keepNext w:val="0"/>
              <w:keepLines w:val="0"/>
              <w:pageBreakBefore w:val="0"/>
              <w:widowControl w:val="0"/>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负责缺陷修复。</w:t>
            </w:r>
          </w:p>
        </w:tc>
      </w:tr>
      <w:tr w14:paraId="0C16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4E415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5</w:t>
            </w:r>
          </w:p>
        </w:tc>
        <w:tc>
          <w:tcPr>
            <w:tcW w:w="1332" w:type="dxa"/>
            <w:vAlign w:val="center"/>
          </w:tcPr>
          <w:p w14:paraId="1062DF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源代码安全要求</w:t>
            </w:r>
          </w:p>
        </w:tc>
        <w:tc>
          <w:tcPr>
            <w:tcW w:w="849" w:type="dxa"/>
            <w:vAlign w:val="center"/>
          </w:tcPr>
          <w:p w14:paraId="52FDC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w:t>
            </w:r>
          </w:p>
        </w:tc>
        <w:tc>
          <w:tcPr>
            <w:tcW w:w="5730" w:type="dxa"/>
            <w:vAlign w:val="center"/>
          </w:tcPr>
          <w:p w14:paraId="49B79A3D">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供应商应确保采购人享有对核心产品软件系统拥有永久的、不可撤销的、不可转让的修改权、复制权及其他使用权，以及对客户化软件及核心产品软件系统中客户化部分的全部知识产权。为实现上述目的，供应商应向采购人提供：1.客户化软件及核心产品软件系统中客户化部分的的目标程序及全部源代码；2.核心产品软件的目标程序</w:t>
            </w:r>
            <w:r>
              <w:rPr>
                <w:rFonts w:hint="default" w:ascii="Times New Roman" w:hAnsi="Times New Roman" w:eastAsia="仿宋_GB2312" w:cs="Times New Roman"/>
                <w:color w:val="auto"/>
                <w:kern w:val="2"/>
                <w:sz w:val="24"/>
                <w:szCs w:val="24"/>
                <w:highlight w:val="none"/>
                <w:lang w:val="en-US" w:eastAsia="zh-CN" w:bidi="ar-SA"/>
              </w:rPr>
              <w:t>及全部源代码</w:t>
            </w:r>
            <w:r>
              <w:rPr>
                <w:rFonts w:hint="eastAsia" w:ascii="Times New Roman" w:hAnsi="Times New Roman" w:eastAsia="仿宋_GB2312" w:cs="Times New Roman"/>
                <w:color w:val="auto"/>
                <w:kern w:val="2"/>
                <w:sz w:val="24"/>
                <w:szCs w:val="24"/>
                <w:highlight w:val="none"/>
                <w:lang w:val="en-US" w:eastAsia="zh-CN" w:bidi="ar-SA"/>
              </w:rPr>
              <w:t>、</w:t>
            </w:r>
            <w:r>
              <w:rPr>
                <w:rFonts w:hint="eastAsia" w:ascii="仿宋_GB2312" w:hAnsi="仿宋_GB2312" w:eastAsia="仿宋_GB2312" w:cs="仿宋_GB2312"/>
                <w:color w:val="auto"/>
                <w:kern w:val="2"/>
                <w:sz w:val="24"/>
                <w:szCs w:val="24"/>
                <w:highlight w:val="none"/>
                <w:lang w:val="en-US" w:eastAsia="zh-CN" w:bidi="ar-SA"/>
              </w:rPr>
              <w:t>开发接口、操作文档等资料。</w:t>
            </w:r>
          </w:p>
        </w:tc>
      </w:tr>
      <w:tr w14:paraId="5627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19" w:type="dxa"/>
            <w:vAlign w:val="center"/>
          </w:tcPr>
          <w:p w14:paraId="6AB0CF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1332" w:type="dxa"/>
            <w:vAlign w:val="center"/>
          </w:tcPr>
          <w:p w14:paraId="4A85EA3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2"/>
                <w:sz w:val="24"/>
                <w:szCs w:val="24"/>
                <w:highlight w:val="none"/>
              </w:rPr>
              <w:t>培训及知识转移要求</w:t>
            </w:r>
          </w:p>
        </w:tc>
        <w:tc>
          <w:tcPr>
            <w:tcW w:w="849" w:type="dxa"/>
            <w:vAlign w:val="center"/>
          </w:tcPr>
          <w:p w14:paraId="483F6AA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p>
        </w:tc>
        <w:tc>
          <w:tcPr>
            <w:tcW w:w="5730" w:type="dxa"/>
            <w:vAlign w:val="center"/>
          </w:tcPr>
          <w:p w14:paraId="68516F1C">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（一）培训对象：培训对象包括进出口银行的开发人员、系统运行维护管理人员，以及其他相关人员。</w:t>
            </w:r>
          </w:p>
          <w:p w14:paraId="1A2DEAF4">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（二）培训目标：通过培训，应使上述人员掌握系统提供的内容和功能，以及使用权限划分与操作方式。</w:t>
            </w:r>
          </w:p>
          <w:p w14:paraId="085ADA39">
            <w:pPr>
              <w:keepNext w:val="0"/>
              <w:keepLines w:val="0"/>
              <w:pageBreakBefore w:val="0"/>
              <w:widowControl/>
              <w:numPr>
                <w:ilvl w:val="-1"/>
                <w:numId w:val="0"/>
              </w:numPr>
              <w:kinsoku/>
              <w:wordWrap/>
              <w:overflowPunct/>
              <w:topLinePunct w:val="0"/>
              <w:autoSpaceDE/>
              <w:autoSpaceDN/>
              <w:bidi w:val="0"/>
              <w:adjustRightInd/>
              <w:snapToGrid/>
              <w:spacing w:after="120" w:line="240" w:lineRule="auto"/>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三）培训内容：供应商应具有知识和技术转移的意愿，并阐述详细的实际措施，以对项目实施阶段的参与者及项目最终的使用和运维团队进行全面、有效的知识转移。供应商需向进出口银行提供系统在配置、开发、安装、使用、监控和维护等方面的培训。供应商须详细列出各阶段培训的服务清单和培训费用，服务清单包括培训内容、授课方式、培训对象、时间计划安排和培训反馈处理等，对项目实施阶段的参与者及项目最终的使用和运维团队进行全面、有效的知识转移，确保进出口银行形成一支熟悉系统运用和维护的专家队伍。</w:t>
            </w:r>
          </w:p>
          <w:p w14:paraId="451BFF34">
            <w:pPr>
              <w:keepNext w:val="0"/>
              <w:keepLines w:val="0"/>
              <w:pageBreakBefore w:val="0"/>
              <w:widowControl/>
              <w:numPr>
                <w:ilvl w:val="-1"/>
                <w:numId w:val="0"/>
              </w:numPr>
              <w:kinsoku/>
              <w:wordWrap/>
              <w:overflowPunct/>
              <w:topLinePunct w:val="0"/>
              <w:autoSpaceDE/>
              <w:autoSpaceDN/>
              <w:bidi w:val="0"/>
              <w:adjustRightInd/>
              <w:snapToGrid/>
              <w:spacing w:after="0" w:line="240" w:lineRule="auto"/>
              <w:ind w:left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（四）培训材料：供应商为所有被培训人员提供完备的文字资料（书面及电子版）和讲义（书面及电子版）等相关用品。</w:t>
            </w:r>
          </w:p>
        </w:tc>
      </w:tr>
    </w:tbl>
    <w:p w14:paraId="38850E32">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28" w:name="_Toc6189"/>
      <w:bookmarkStart w:id="29" w:name="_Toc29694"/>
      <w:bookmarkStart w:id="30" w:name="_Toc25339"/>
      <w:bookmarkStart w:id="31" w:name="_Toc26244"/>
      <w:bookmarkStart w:id="32" w:name="_Toc20452"/>
      <w:bookmarkStart w:id="33" w:name="_Toc15682"/>
      <w:r>
        <w:rPr>
          <w:rFonts w:ascii="Times New Roman" w:hAnsi="黑体" w:eastAsia="黑体" w:cs="Times New Roman"/>
          <w:b w:val="0"/>
          <w:bCs w:val="0"/>
          <w:color w:val="auto"/>
          <w:kern w:val="2"/>
          <w:sz w:val="24"/>
          <w:szCs w:val="24"/>
          <w:highlight w:val="none"/>
          <w:lang w:val="en-US" w:eastAsia="zh-CN" w:bidi="ar-SA"/>
        </w:rPr>
        <w:t>项目团队要求</w:t>
      </w:r>
      <w:bookmarkEnd w:id="28"/>
      <w:bookmarkEnd w:id="29"/>
      <w:bookmarkEnd w:id="30"/>
      <w:bookmarkEnd w:id="31"/>
      <w:bookmarkEnd w:id="32"/>
      <w:bookmarkEnd w:id="33"/>
    </w:p>
    <w:p w14:paraId="5C33837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bookmarkStart w:id="34" w:name="_Toc8495"/>
      <w:r>
        <w:rPr>
          <w:rFonts w:hint="eastAsia" w:ascii="仿宋_GB2312" w:hAnsi="仿宋_GB2312" w:eastAsia="仿宋_GB2312" w:cs="仿宋_GB2312"/>
          <w:color w:val="auto"/>
          <w:sz w:val="24"/>
          <w:szCs w:val="24"/>
          <w:highlight w:val="none"/>
          <w:lang w:val="en-US" w:eastAsia="zh-CN"/>
        </w:rPr>
        <w:t>派驻具有相关资质、技能和经验的技术服务人员，提供所需的信息技术服务。</w:t>
      </w:r>
    </w:p>
    <w:p w14:paraId="26AEFFE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（一）在人员供给方面，应高效及时提供满足采购人要求的高质量人力资源，并且公司应该具备此类人力资源的储备，保证满足采购人的服务人员更换和增加需求。</w:t>
      </w:r>
    </w:p>
    <w:p w14:paraId="5AE8C4A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（二）在人员稳定性方面，应有效保障现场服务队伍的稳定性，实现较低的员工流失率，无特殊原因，不得无故更换服务人员，以确保服务质量，如更换服务人员应提前1个月通知，并完成工作交接。</w:t>
      </w:r>
    </w:p>
    <w:p w14:paraId="01ACC522">
      <w:pPr>
        <w:widowControl w:val="0"/>
        <w:spacing w:line="400" w:lineRule="exact"/>
        <w:ind w:firstLine="480" w:firstLineChars="200"/>
        <w:jc w:val="both"/>
        <w:rPr>
          <w:rFonts w:hint="eastAsia" w:ascii="Times New Roman" w:hAnsi="Times New Roman" w:eastAsia="仿宋" w:cs="Times New Roman"/>
          <w:color w:val="auto"/>
          <w:kern w:val="2"/>
          <w:sz w:val="24"/>
          <w:szCs w:val="24"/>
          <w:highlight w:val="none"/>
          <w:lang w:val="en-US" w:eastAsia="zh-CN" w:bidi="ar-SA"/>
        </w:rPr>
      </w:pPr>
    </w:p>
    <w:tbl>
      <w:tblPr>
        <w:tblStyle w:val="2"/>
        <w:tblW w:w="8533" w:type="dxa"/>
        <w:tblInd w:w="-107" w:type="dxa"/>
        <w:tblLayout w:type="fixed"/>
        <w:tblCellMar>
          <w:top w:w="0" w:type="dxa"/>
          <w:left w:w="108" w:type="dxa"/>
          <w:bottom w:w="0" w:type="dxa"/>
          <w:right w:w="108" w:type="dxa"/>
        </w:tblCellMar>
      </w:tblPr>
      <w:tblGrid>
        <w:gridCol w:w="1280"/>
        <w:gridCol w:w="807"/>
        <w:gridCol w:w="3043"/>
        <w:gridCol w:w="3403"/>
      </w:tblGrid>
      <w:tr w14:paraId="2B52ADD6">
        <w:tblPrEx>
          <w:tblCellMar>
            <w:top w:w="0" w:type="dxa"/>
            <w:left w:w="108" w:type="dxa"/>
            <w:bottom w:w="0" w:type="dxa"/>
            <w:right w:w="108" w:type="dxa"/>
          </w:tblCellMar>
        </w:tblPrEx>
        <w:trPr>
          <w:trHeight w:val="404" w:hRule="atLeast"/>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B2D5">
            <w:pPr>
              <w:pageBreakBefore w:val="0"/>
              <w:kinsoku/>
              <w:overflowPunct/>
              <w:topLinePunct w:val="0"/>
              <w:autoSpaceDE/>
              <w:autoSpaceDN/>
              <w:bidi w:val="0"/>
              <w:snapToGrid/>
              <w:spacing w:line="240" w:lineRule="auto"/>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岗位名称</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523C">
            <w:pPr>
              <w:pageBreakBefore w:val="0"/>
              <w:kinsoku/>
              <w:overflowPunct/>
              <w:topLinePunct w:val="0"/>
              <w:autoSpaceDE/>
              <w:autoSpaceDN/>
              <w:bidi w:val="0"/>
              <w:snapToGrid/>
              <w:spacing w:line="240" w:lineRule="auto"/>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人数</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C63B">
            <w:pPr>
              <w:pageBreakBefore w:val="0"/>
              <w:kinsoku/>
              <w:overflowPunct/>
              <w:topLinePunct w:val="0"/>
              <w:autoSpaceDE/>
              <w:autoSpaceDN/>
              <w:bidi w:val="0"/>
              <w:snapToGrid/>
              <w:spacing w:line="240" w:lineRule="auto"/>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工作内容</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5C71">
            <w:pPr>
              <w:pageBreakBefore w:val="0"/>
              <w:kinsoku/>
              <w:overflowPunct/>
              <w:topLinePunct w:val="0"/>
              <w:autoSpaceDE/>
              <w:autoSpaceDN/>
              <w:bidi w:val="0"/>
              <w:snapToGrid/>
              <w:spacing w:line="240" w:lineRule="auto"/>
              <w:jc w:val="center"/>
              <w:rPr>
                <w:rFonts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资质和经验要求</w:t>
            </w:r>
          </w:p>
        </w:tc>
      </w:tr>
      <w:tr w14:paraId="329D217C">
        <w:tblPrEx>
          <w:tblCellMar>
            <w:top w:w="0" w:type="dxa"/>
            <w:left w:w="108" w:type="dxa"/>
            <w:bottom w:w="0" w:type="dxa"/>
            <w:right w:w="108" w:type="dxa"/>
          </w:tblCellMar>
        </w:tblPrEx>
        <w:trPr>
          <w:trHeight w:val="50" w:hRule="atLeast"/>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EB3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项目经理</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CE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1人</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7054">
            <w:pPr>
              <w:rPr>
                <w:rFonts w:ascii="Times New Roman" w:hAnsi="楷体" w:eastAsia="仿宋_GB2312" w:cs="Times New Roman"/>
                <w:color w:val="auto"/>
                <w:sz w:val="24"/>
                <w:szCs w:val="24"/>
                <w:highlight w:val="none"/>
              </w:rPr>
            </w:pPr>
            <w:r>
              <w:rPr>
                <w:rFonts w:ascii="Times New Roman" w:hAnsi="楷体" w:eastAsia="仿宋_GB2312" w:cs="Times New Roman"/>
                <w:color w:val="auto"/>
                <w:sz w:val="24"/>
                <w:szCs w:val="24"/>
                <w:highlight w:val="none"/>
              </w:rPr>
              <w:t>负责项目的整体控制和协调，保证工程的进度、质量、保密。负责项目合作协议的签订、合同签订以及工程总体验收；</w:t>
            </w:r>
          </w:p>
          <w:p w14:paraId="78343B7C">
            <w:pPr>
              <w:rPr>
                <w:rFonts w:hint="eastAsia" w:ascii="仿宋_GB2312" w:hAnsi="仿宋_GB2312" w:eastAsia="仿宋_GB2312" w:cs="仿宋_GB2312"/>
                <w:color w:val="auto"/>
                <w:sz w:val="24"/>
                <w:szCs w:val="24"/>
                <w:highlight w:val="none"/>
              </w:rPr>
            </w:pPr>
            <w:r>
              <w:rPr>
                <w:rFonts w:ascii="Times New Roman" w:hAnsi="楷体" w:eastAsia="仿宋_GB2312" w:cs="Times New Roman"/>
                <w:color w:val="auto"/>
                <w:sz w:val="24"/>
                <w:szCs w:val="24"/>
                <w:highlight w:val="none"/>
              </w:rPr>
              <w:t>负责制定项目详细进度计划，并监督执行定期核查项目基线，保障项目保质保量按期执行任务的顺利完成。</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81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1、具备</w:t>
            </w:r>
            <w:r>
              <w:rPr>
                <w:rFonts w:hint="eastAsia" w:ascii="仿宋_GB2312" w:hAnsi="仿宋_GB2312" w:eastAsia="仿宋_GB2312" w:cs="仿宋_GB2312"/>
                <w:color w:val="auto"/>
                <w:sz w:val="24"/>
                <w:szCs w:val="24"/>
                <w:highlight w:val="none"/>
                <w:lang w:val="en-US" w:eastAsia="zh-CN"/>
              </w:rPr>
              <w:t>本科</w:t>
            </w:r>
            <w:r>
              <w:rPr>
                <w:rFonts w:hint="eastAsia" w:ascii="仿宋_GB2312" w:hAnsi="仿宋_GB2312" w:eastAsia="仿宋_GB2312" w:cs="仿宋_GB2312"/>
                <w:color w:val="auto"/>
                <w:sz w:val="24"/>
                <w:szCs w:val="24"/>
                <w:highlight w:val="none"/>
              </w:rPr>
              <w:t>及以上学历；</w:t>
            </w:r>
          </w:p>
          <w:p w14:paraId="1CF668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2、具备</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年及以上</w:t>
            </w:r>
            <w:r>
              <w:rPr>
                <w:rFonts w:hint="eastAsia" w:ascii="仿宋_GB2312" w:hAnsi="仿宋_GB2312" w:eastAsia="仿宋_GB2312" w:cs="仿宋_GB2312"/>
                <w:color w:val="auto"/>
                <w:sz w:val="24"/>
                <w:szCs w:val="24"/>
                <w:highlight w:val="none"/>
                <w:lang w:val="en-US" w:eastAsia="zh-CN"/>
              </w:rPr>
              <w:t>二代征信查询系统相关工作经验</w:t>
            </w:r>
            <w:r>
              <w:rPr>
                <w:rFonts w:hint="eastAsia" w:ascii="仿宋_GB2312" w:hAnsi="仿宋_GB2312" w:eastAsia="仿宋_GB2312" w:cs="仿宋_GB2312"/>
                <w:color w:val="auto"/>
                <w:sz w:val="24"/>
                <w:szCs w:val="24"/>
                <w:highlight w:val="none"/>
              </w:rPr>
              <w:t>；</w:t>
            </w:r>
          </w:p>
          <w:p w14:paraId="250ADE7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3、具备</w:t>
            </w:r>
            <w:r>
              <w:rPr>
                <w:rFonts w:hint="eastAsia" w:ascii="仿宋_GB2312" w:hAnsi="仿宋_GB2312" w:eastAsia="仿宋_GB2312" w:cs="仿宋_GB2312"/>
                <w:color w:val="auto"/>
                <w:sz w:val="24"/>
                <w:szCs w:val="24"/>
                <w:highlight w:val="none"/>
                <w:lang w:val="en-US" w:eastAsia="zh-CN"/>
              </w:rPr>
              <w:t>至少2个项目的项目管理经验；</w:t>
            </w:r>
          </w:p>
          <w:p w14:paraId="6BBEA0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4、熟悉</w:t>
            </w:r>
            <w:r>
              <w:rPr>
                <w:rFonts w:hint="eastAsia" w:ascii="仿宋_GB2312" w:hAnsi="仿宋_GB2312" w:eastAsia="仿宋_GB2312" w:cs="仿宋_GB2312"/>
                <w:color w:val="auto"/>
                <w:sz w:val="24"/>
                <w:szCs w:val="24"/>
                <w:highlight w:val="none"/>
                <w:lang w:val="en-US" w:eastAsia="zh-CN"/>
              </w:rPr>
              <w:t>中国进出口银行二代征信查询系统现状</w:t>
            </w:r>
            <w:r>
              <w:rPr>
                <w:rFonts w:hint="eastAsia" w:ascii="仿宋_GB2312" w:hAnsi="仿宋_GB2312" w:eastAsia="仿宋_GB2312" w:cs="仿宋_GB2312"/>
                <w:color w:val="auto"/>
                <w:sz w:val="24"/>
                <w:szCs w:val="24"/>
                <w:highlight w:val="none"/>
              </w:rPr>
              <w:t>；</w:t>
            </w:r>
          </w:p>
          <w:p w14:paraId="22F4482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、熟练使用</w:t>
            </w:r>
            <w:r>
              <w:rPr>
                <w:rFonts w:hint="eastAsia" w:ascii="仿宋_GB2312" w:hAnsi="仿宋_GB2312" w:eastAsia="仿宋_GB2312" w:cs="仿宋_GB2312"/>
                <w:color w:val="auto"/>
                <w:sz w:val="24"/>
                <w:szCs w:val="24"/>
                <w:highlight w:val="none"/>
                <w:lang w:val="en-US" w:eastAsia="zh-CN"/>
              </w:rPr>
              <w:t>常见</w:t>
            </w:r>
            <w:r>
              <w:rPr>
                <w:rFonts w:hint="eastAsia" w:ascii="仿宋_GB2312" w:hAnsi="仿宋_GB2312" w:eastAsia="仿宋_GB2312" w:cs="仿宋_GB2312"/>
                <w:color w:val="auto"/>
                <w:sz w:val="24"/>
                <w:szCs w:val="24"/>
                <w:highlight w:val="none"/>
              </w:rPr>
              <w:t>数据库、SQL语言</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Java</w:t>
            </w:r>
            <w:r>
              <w:rPr>
                <w:rFonts w:hint="eastAsia" w:ascii="仿宋_GB2312" w:hAnsi="仿宋_GB2312" w:eastAsia="仿宋_GB2312" w:cs="仿宋_GB2312"/>
                <w:color w:val="auto"/>
                <w:sz w:val="24"/>
                <w:szCs w:val="24"/>
                <w:highlight w:val="none"/>
                <w:lang w:val="en-US" w:eastAsia="zh-CN"/>
              </w:rPr>
              <w:t>开发语言、</w:t>
            </w:r>
            <w:r>
              <w:rPr>
                <w:rFonts w:hint="eastAsia" w:ascii="仿宋_GB2312" w:hAnsi="仿宋_GB2312" w:eastAsia="仿宋_GB2312" w:cs="仿宋_GB2312"/>
                <w:color w:val="auto"/>
                <w:sz w:val="24"/>
                <w:szCs w:val="24"/>
                <w:highlight w:val="none"/>
              </w:rPr>
              <w:t>linux</w:t>
            </w:r>
            <w:r>
              <w:rPr>
                <w:rFonts w:hint="eastAsia" w:ascii="仿宋_GB2312" w:hAnsi="仿宋_GB2312" w:eastAsia="仿宋_GB2312" w:cs="仿宋_GB2312"/>
                <w:color w:val="auto"/>
                <w:sz w:val="24"/>
                <w:szCs w:val="24"/>
                <w:highlight w:val="none"/>
                <w:lang w:val="en-US" w:eastAsia="zh-CN"/>
              </w:rPr>
              <w:t>操作系统。</w:t>
            </w:r>
          </w:p>
        </w:tc>
      </w:tr>
      <w:tr w14:paraId="3395686D">
        <w:tblPrEx>
          <w:tblCellMar>
            <w:top w:w="0" w:type="dxa"/>
            <w:left w:w="108" w:type="dxa"/>
            <w:bottom w:w="0" w:type="dxa"/>
            <w:right w:w="108" w:type="dxa"/>
          </w:tblCellMar>
        </w:tblPrEx>
        <w:trPr>
          <w:trHeight w:val="947" w:hRule="atLeast"/>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9A8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资深</w:t>
            </w:r>
            <w:r>
              <w:rPr>
                <w:rFonts w:hint="eastAsia" w:ascii="仿宋_GB2312" w:hAnsi="仿宋_GB2312" w:eastAsia="仿宋_GB2312" w:cs="仿宋_GB2312"/>
                <w:color w:val="auto"/>
                <w:sz w:val="24"/>
                <w:szCs w:val="24"/>
                <w:highlight w:val="none"/>
              </w:rPr>
              <w:t>工程师</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7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满足本项目建设的人员数量（至少2人）</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53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负责</w:t>
            </w:r>
            <w:r>
              <w:rPr>
                <w:rFonts w:hint="eastAsia" w:ascii="仿宋_GB2312" w:hAnsi="仿宋_GB2312" w:eastAsia="仿宋_GB2312" w:cs="仿宋_GB2312"/>
                <w:color w:val="auto"/>
                <w:sz w:val="24"/>
                <w:szCs w:val="24"/>
                <w:highlight w:val="none"/>
                <w:lang w:val="en-US" w:eastAsia="zh-CN"/>
              </w:rPr>
              <w:t>整体方案、</w:t>
            </w:r>
            <w:r>
              <w:rPr>
                <w:rFonts w:hint="eastAsia" w:ascii="仿宋_GB2312" w:hAnsi="仿宋_GB2312" w:eastAsia="仿宋_GB2312" w:cs="仿宋_GB2312"/>
                <w:color w:val="auto"/>
                <w:sz w:val="24"/>
                <w:szCs w:val="24"/>
                <w:highlight w:val="none"/>
              </w:rPr>
              <w:t>需求分析、设计开发、运维支持等工作，能及时</w:t>
            </w:r>
            <w:r>
              <w:rPr>
                <w:rFonts w:hint="eastAsia" w:ascii="仿宋_GB2312" w:hAnsi="仿宋_GB2312" w:eastAsia="仿宋_GB2312" w:cs="仿宋_GB2312"/>
                <w:color w:val="auto"/>
                <w:sz w:val="24"/>
                <w:szCs w:val="24"/>
                <w:highlight w:val="none"/>
                <w:lang w:val="en-US" w:eastAsia="zh-CN"/>
              </w:rPr>
              <w:t>响应</w:t>
            </w:r>
            <w:r>
              <w:rPr>
                <w:rFonts w:hint="eastAsia" w:ascii="仿宋_GB2312" w:hAnsi="仿宋_GB2312" w:eastAsia="仿宋_GB2312" w:cs="仿宋_GB2312"/>
                <w:color w:val="auto"/>
                <w:sz w:val="24"/>
                <w:szCs w:val="24"/>
                <w:highlight w:val="none"/>
              </w:rPr>
              <w:t>解决</w:t>
            </w:r>
            <w:r>
              <w:rPr>
                <w:rFonts w:hint="eastAsia" w:ascii="仿宋_GB2312" w:hAnsi="仿宋_GB2312" w:eastAsia="仿宋_GB2312" w:cs="仿宋_GB2312"/>
                <w:color w:val="auto"/>
                <w:sz w:val="24"/>
                <w:szCs w:val="24"/>
                <w:highlight w:val="none"/>
                <w:lang w:val="en-US" w:eastAsia="zh-CN"/>
              </w:rPr>
              <w:t>项目实施、投产、运行过程中遇到的</w:t>
            </w:r>
            <w:r>
              <w:rPr>
                <w:rFonts w:hint="eastAsia" w:ascii="仿宋_GB2312" w:hAnsi="仿宋_GB2312" w:eastAsia="仿宋_GB2312" w:cs="仿宋_GB2312"/>
                <w:color w:val="auto"/>
                <w:sz w:val="24"/>
                <w:szCs w:val="24"/>
                <w:highlight w:val="none"/>
              </w:rPr>
              <w:t>问题。</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10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1、具备</w:t>
            </w:r>
            <w:r>
              <w:rPr>
                <w:rFonts w:hint="eastAsia" w:ascii="仿宋_GB2312" w:hAnsi="仿宋_GB2312" w:eastAsia="仿宋_GB2312" w:cs="仿宋_GB2312"/>
                <w:color w:val="auto"/>
                <w:sz w:val="24"/>
                <w:szCs w:val="24"/>
                <w:highlight w:val="none"/>
                <w:lang w:val="en-US" w:eastAsia="zh-CN"/>
              </w:rPr>
              <w:t>本科</w:t>
            </w:r>
            <w:r>
              <w:rPr>
                <w:rFonts w:hint="eastAsia" w:ascii="仿宋_GB2312" w:hAnsi="仿宋_GB2312" w:eastAsia="仿宋_GB2312" w:cs="仿宋_GB2312"/>
                <w:color w:val="auto"/>
                <w:sz w:val="24"/>
                <w:szCs w:val="24"/>
                <w:highlight w:val="none"/>
              </w:rPr>
              <w:t>及以上学历；</w:t>
            </w:r>
          </w:p>
          <w:p w14:paraId="0F3BC2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2、具备</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年及以上</w:t>
            </w:r>
            <w:r>
              <w:rPr>
                <w:rFonts w:hint="eastAsia" w:ascii="仿宋_GB2312" w:hAnsi="仿宋_GB2312" w:eastAsia="仿宋_GB2312" w:cs="仿宋_GB2312"/>
                <w:color w:val="auto"/>
                <w:sz w:val="24"/>
                <w:szCs w:val="24"/>
                <w:highlight w:val="none"/>
                <w:lang w:val="en-US" w:eastAsia="zh-CN"/>
              </w:rPr>
              <w:t>二代征信查询系统相关工作经验</w:t>
            </w:r>
            <w:r>
              <w:rPr>
                <w:rFonts w:hint="eastAsia" w:ascii="仿宋_GB2312" w:hAnsi="仿宋_GB2312" w:eastAsia="仿宋_GB2312" w:cs="仿宋_GB2312"/>
                <w:color w:val="auto"/>
                <w:sz w:val="24"/>
                <w:szCs w:val="24"/>
                <w:highlight w:val="none"/>
              </w:rPr>
              <w:t>。</w:t>
            </w:r>
          </w:p>
          <w:p w14:paraId="11575C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3、熟悉</w:t>
            </w:r>
            <w:r>
              <w:rPr>
                <w:rFonts w:hint="eastAsia" w:ascii="仿宋_GB2312" w:hAnsi="仿宋_GB2312" w:eastAsia="仿宋_GB2312" w:cs="仿宋_GB2312"/>
                <w:color w:val="auto"/>
                <w:sz w:val="24"/>
                <w:szCs w:val="24"/>
                <w:highlight w:val="none"/>
                <w:lang w:val="en-US" w:eastAsia="zh-CN"/>
              </w:rPr>
              <w:t>中国进出口银行二代征信查询系统现状</w:t>
            </w:r>
            <w:r>
              <w:rPr>
                <w:rFonts w:hint="eastAsia" w:ascii="仿宋_GB2312" w:hAnsi="仿宋_GB2312" w:eastAsia="仿宋_GB2312" w:cs="仿宋_GB2312"/>
                <w:color w:val="auto"/>
                <w:sz w:val="24"/>
                <w:szCs w:val="24"/>
                <w:highlight w:val="none"/>
              </w:rPr>
              <w:t>；</w:t>
            </w:r>
          </w:p>
          <w:p w14:paraId="4ED0D3B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、熟练使用</w:t>
            </w:r>
            <w:r>
              <w:rPr>
                <w:rFonts w:hint="eastAsia" w:ascii="仿宋_GB2312" w:hAnsi="仿宋_GB2312" w:eastAsia="仿宋_GB2312" w:cs="仿宋_GB2312"/>
                <w:color w:val="auto"/>
                <w:sz w:val="24"/>
                <w:szCs w:val="24"/>
                <w:highlight w:val="none"/>
                <w:lang w:val="en-US" w:eastAsia="zh-CN"/>
              </w:rPr>
              <w:t>常见</w:t>
            </w:r>
            <w:r>
              <w:rPr>
                <w:rFonts w:hint="eastAsia" w:ascii="仿宋_GB2312" w:hAnsi="仿宋_GB2312" w:eastAsia="仿宋_GB2312" w:cs="仿宋_GB2312"/>
                <w:color w:val="auto"/>
                <w:sz w:val="24"/>
                <w:szCs w:val="24"/>
                <w:highlight w:val="none"/>
              </w:rPr>
              <w:t>数据库、SQL</w:t>
            </w:r>
            <w:r>
              <w:rPr>
                <w:rFonts w:hint="eastAsia" w:ascii="仿宋_GB2312" w:hAnsi="仿宋_GB2312" w:eastAsia="仿宋_GB2312" w:cs="仿宋_GB2312"/>
                <w:color w:val="auto"/>
                <w:sz w:val="24"/>
                <w:szCs w:val="24"/>
                <w:highlight w:val="none"/>
                <w:lang w:val="en-US" w:eastAsia="zh-CN"/>
              </w:rPr>
              <w:t>语言；</w:t>
            </w:r>
          </w:p>
          <w:p w14:paraId="723D04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5、精通Java开发语言；</w:t>
            </w:r>
          </w:p>
          <w:p w14:paraId="5B22B3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6、熟练使用linux操作系统。</w:t>
            </w:r>
          </w:p>
          <w:p w14:paraId="7D23C379">
            <w:pPr>
              <w:keepNext w:val="0"/>
              <w:keepLines w:val="0"/>
              <w:pageBreakBefore w:val="0"/>
              <w:widowControl w:val="0"/>
              <w:kinsoku/>
              <w:wordWrap/>
              <w:overflowPunct/>
              <w:topLinePunct w:val="0"/>
              <w:autoSpaceDE/>
              <w:autoSpaceDN/>
              <w:bidi w:val="0"/>
              <w:adjustRightInd/>
              <w:snapToGrid/>
              <w:spacing w:after="120" w:line="240" w:lineRule="auto"/>
              <w:ind w:firstLine="0" w:firstLine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7、精通</w:t>
            </w:r>
            <w:r>
              <w:rPr>
                <w:rFonts w:hint="eastAsia" w:ascii="仿宋_GB2312" w:hAnsi="仿宋_GB2312" w:eastAsia="仿宋_GB2312" w:cs="仿宋_GB2312"/>
                <w:color w:val="auto"/>
                <w:kern w:val="2"/>
                <w:sz w:val="24"/>
                <w:szCs w:val="24"/>
                <w:highlight w:val="none"/>
                <w:lang w:val="en-GB" w:eastAsia="zh-CN" w:bidi="ar-SA"/>
              </w:rPr>
              <w:t>TCP/IP</w:t>
            </w:r>
            <w:r>
              <w:rPr>
                <w:rFonts w:hint="eastAsia" w:ascii="仿宋_GB2312" w:hAnsi="仿宋_GB2312" w:eastAsia="仿宋_GB2312" w:cs="仿宋_GB2312"/>
                <w:color w:val="auto"/>
                <w:kern w:val="2"/>
                <w:sz w:val="24"/>
                <w:szCs w:val="24"/>
                <w:highlight w:val="none"/>
                <w:lang w:val="en-US" w:eastAsia="zh-CN" w:bidi="ar-SA"/>
              </w:rPr>
              <w:t>协议，Nginx，国密算法如SM4等。使用linux操作系统。</w:t>
            </w:r>
          </w:p>
        </w:tc>
      </w:tr>
      <w:tr w14:paraId="134C5083">
        <w:tblPrEx>
          <w:tblCellMar>
            <w:top w:w="0" w:type="dxa"/>
            <w:left w:w="108" w:type="dxa"/>
            <w:bottom w:w="0" w:type="dxa"/>
            <w:right w:w="108" w:type="dxa"/>
          </w:tblCellMar>
        </w:tblPrEx>
        <w:trPr>
          <w:trHeight w:val="382" w:hRule="atLeast"/>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B3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高</w:t>
            </w:r>
            <w:r>
              <w:rPr>
                <w:rFonts w:hint="eastAsia" w:ascii="仿宋_GB2312" w:hAnsi="仿宋_GB2312" w:eastAsia="仿宋_GB2312" w:cs="仿宋_GB2312"/>
                <w:color w:val="auto"/>
                <w:sz w:val="24"/>
                <w:szCs w:val="24"/>
                <w:highlight w:val="none"/>
              </w:rPr>
              <w:t>级工程师</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D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满足本项目建设的人员数量（至少2人）</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D85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负责设计开发、系统测试、运维支持等工作，能及时响应解决系统的问题。</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FF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1、具备本科及以上学历；</w:t>
            </w:r>
          </w:p>
          <w:p w14:paraId="0A76FCC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2、具备3年及以上二代征信查询系统相关工作经验。</w:t>
            </w:r>
          </w:p>
          <w:p w14:paraId="424901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3、熟悉中国进出口银行二代征信查询系统现状；</w:t>
            </w:r>
          </w:p>
          <w:p w14:paraId="3EBA32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4、熟练使用常见数据库、SQL语言；</w:t>
            </w:r>
          </w:p>
          <w:p w14:paraId="529C01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5、精通Java开发语言；</w:t>
            </w:r>
          </w:p>
          <w:p w14:paraId="260930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6、熟练使用linux操作系统。</w:t>
            </w:r>
          </w:p>
          <w:p w14:paraId="20F5B5C5">
            <w:pPr>
              <w:keepNext w:val="0"/>
              <w:keepLines w:val="0"/>
              <w:pageBreakBefore w:val="0"/>
              <w:widowControl w:val="0"/>
              <w:kinsoku/>
              <w:wordWrap/>
              <w:overflowPunct/>
              <w:topLinePunct w:val="0"/>
              <w:autoSpaceDE/>
              <w:autoSpaceDN/>
              <w:bidi w:val="0"/>
              <w:adjustRightInd/>
              <w:snapToGrid/>
              <w:spacing w:after="120" w:line="240" w:lineRule="auto"/>
              <w:ind w:firstLine="0" w:firstLine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7、熟悉</w:t>
            </w:r>
            <w:r>
              <w:rPr>
                <w:rFonts w:hint="eastAsia" w:ascii="仿宋_GB2312" w:hAnsi="仿宋_GB2312" w:eastAsia="仿宋_GB2312" w:cs="仿宋_GB2312"/>
                <w:color w:val="auto"/>
                <w:kern w:val="2"/>
                <w:sz w:val="24"/>
                <w:szCs w:val="24"/>
                <w:highlight w:val="none"/>
                <w:lang w:val="en-GB" w:eastAsia="zh-CN" w:bidi="ar-SA"/>
              </w:rPr>
              <w:t>TCP/IP</w:t>
            </w:r>
            <w:r>
              <w:rPr>
                <w:rFonts w:hint="eastAsia" w:ascii="仿宋_GB2312" w:hAnsi="仿宋_GB2312" w:eastAsia="仿宋_GB2312" w:cs="仿宋_GB2312"/>
                <w:color w:val="auto"/>
                <w:kern w:val="2"/>
                <w:sz w:val="24"/>
                <w:szCs w:val="24"/>
                <w:highlight w:val="none"/>
                <w:lang w:val="en-US" w:eastAsia="zh-CN" w:bidi="ar-SA"/>
              </w:rPr>
              <w:t>协议，Nginx，国密算法如SM4等。</w:t>
            </w:r>
          </w:p>
        </w:tc>
      </w:tr>
      <w:tr w14:paraId="797F666D">
        <w:tblPrEx>
          <w:tblCellMar>
            <w:top w:w="0" w:type="dxa"/>
            <w:left w:w="108" w:type="dxa"/>
            <w:bottom w:w="0" w:type="dxa"/>
            <w:right w:w="108" w:type="dxa"/>
          </w:tblCellMar>
        </w:tblPrEx>
        <w:trPr>
          <w:trHeight w:val="947" w:hRule="atLeast"/>
        </w:trPr>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16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中</w:t>
            </w:r>
            <w:r>
              <w:rPr>
                <w:rFonts w:hint="eastAsia" w:ascii="仿宋_GB2312" w:hAnsi="仿宋_GB2312" w:eastAsia="仿宋_GB2312" w:cs="仿宋_GB2312"/>
                <w:color w:val="auto"/>
                <w:sz w:val="24"/>
                <w:szCs w:val="24"/>
                <w:highlight w:val="none"/>
              </w:rPr>
              <w:t>级工程师</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64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满足本项目建设的人员数量（至少2人）</w:t>
            </w:r>
          </w:p>
        </w:tc>
        <w:tc>
          <w:tcPr>
            <w:tcW w:w="3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F69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负责开发实施、系统测试等工作，能及时响应解决系统的问题。</w:t>
            </w:r>
          </w:p>
        </w:tc>
        <w:tc>
          <w:tcPr>
            <w:tcW w:w="3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24D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1、具备</w:t>
            </w:r>
            <w:r>
              <w:rPr>
                <w:rFonts w:hint="eastAsia" w:ascii="仿宋_GB2312" w:hAnsi="仿宋_GB2312" w:eastAsia="仿宋_GB2312" w:cs="仿宋_GB2312"/>
                <w:color w:val="auto"/>
                <w:sz w:val="24"/>
                <w:szCs w:val="24"/>
                <w:highlight w:val="none"/>
                <w:lang w:val="en-US" w:eastAsia="zh-CN"/>
              </w:rPr>
              <w:t>本科</w:t>
            </w:r>
            <w:r>
              <w:rPr>
                <w:rFonts w:hint="eastAsia" w:ascii="仿宋_GB2312" w:hAnsi="仿宋_GB2312" w:eastAsia="仿宋_GB2312" w:cs="仿宋_GB2312"/>
                <w:color w:val="auto"/>
                <w:sz w:val="24"/>
                <w:szCs w:val="24"/>
                <w:highlight w:val="none"/>
              </w:rPr>
              <w:t>及以上学历；</w:t>
            </w:r>
          </w:p>
          <w:p w14:paraId="7FB734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2、具备</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年及以上</w:t>
            </w:r>
            <w:r>
              <w:rPr>
                <w:rFonts w:hint="eastAsia" w:ascii="仿宋_GB2312" w:hAnsi="仿宋_GB2312" w:eastAsia="仿宋_GB2312" w:cs="仿宋_GB2312"/>
                <w:color w:val="auto"/>
                <w:sz w:val="24"/>
                <w:szCs w:val="24"/>
                <w:highlight w:val="none"/>
                <w:lang w:val="en-US" w:eastAsia="zh-CN"/>
              </w:rPr>
              <w:t>二代征信查询系统相关工作经验</w:t>
            </w:r>
            <w:r>
              <w:rPr>
                <w:rFonts w:hint="eastAsia" w:ascii="仿宋_GB2312" w:hAnsi="仿宋_GB2312" w:eastAsia="仿宋_GB2312" w:cs="仿宋_GB2312"/>
                <w:color w:val="auto"/>
                <w:sz w:val="24"/>
                <w:szCs w:val="24"/>
                <w:highlight w:val="none"/>
              </w:rPr>
              <w:t>。</w:t>
            </w:r>
          </w:p>
          <w:p w14:paraId="37393C90">
            <w:pPr>
              <w:keepNext w:val="0"/>
              <w:keepLines w:val="0"/>
              <w:pageBreakBefore w:val="0"/>
              <w:widowControl w:val="0"/>
              <w:kinsoku/>
              <w:wordWrap/>
              <w:overflowPunct/>
              <w:topLinePunct w:val="0"/>
              <w:autoSpaceDE/>
              <w:autoSpaceDN/>
              <w:bidi w:val="0"/>
              <w:adjustRightInd/>
              <w:snapToGrid/>
              <w:spacing w:line="240" w:lineRule="auto"/>
              <w:ind w:left="0" w:leftChars="0" w:firstLine="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3、熟悉中国进出口银行二代征信查询系统现状；</w:t>
            </w:r>
          </w:p>
          <w:p w14:paraId="71B97D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4、熟练使用常见数据库、SQL语言；</w:t>
            </w:r>
          </w:p>
          <w:p w14:paraId="3820DD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5、熟悉Java开发语言；</w:t>
            </w:r>
          </w:p>
          <w:p w14:paraId="61B7FE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6、熟悉linux操作系统。</w:t>
            </w:r>
          </w:p>
          <w:p w14:paraId="3CBC218A">
            <w:pPr>
              <w:keepNext w:val="0"/>
              <w:keepLines w:val="0"/>
              <w:pageBreakBefore w:val="0"/>
              <w:widowControl w:val="0"/>
              <w:kinsoku/>
              <w:wordWrap/>
              <w:overflowPunct/>
              <w:topLinePunct w:val="0"/>
              <w:autoSpaceDE/>
              <w:autoSpaceDN/>
              <w:bidi w:val="0"/>
              <w:adjustRightInd/>
              <w:snapToGrid/>
              <w:spacing w:after="120" w:line="240" w:lineRule="auto"/>
              <w:ind w:firstLine="0" w:firstLineChars="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7、熟悉</w:t>
            </w:r>
            <w:r>
              <w:rPr>
                <w:rFonts w:hint="eastAsia" w:ascii="仿宋_GB2312" w:hAnsi="仿宋_GB2312" w:eastAsia="仿宋_GB2312" w:cs="仿宋_GB2312"/>
                <w:color w:val="auto"/>
                <w:kern w:val="2"/>
                <w:sz w:val="24"/>
                <w:szCs w:val="24"/>
                <w:highlight w:val="none"/>
                <w:lang w:val="en-GB" w:eastAsia="zh-CN" w:bidi="ar-SA"/>
              </w:rPr>
              <w:t>TCP/IP</w:t>
            </w:r>
            <w:r>
              <w:rPr>
                <w:rFonts w:hint="eastAsia" w:ascii="仿宋_GB2312" w:hAnsi="仿宋_GB2312" w:eastAsia="仿宋_GB2312" w:cs="仿宋_GB2312"/>
                <w:color w:val="auto"/>
                <w:kern w:val="2"/>
                <w:sz w:val="24"/>
                <w:szCs w:val="24"/>
                <w:highlight w:val="none"/>
                <w:lang w:val="en-US" w:eastAsia="zh-CN" w:bidi="ar-SA"/>
              </w:rPr>
              <w:t>协议，Nginx，国密算法如SM4等。</w:t>
            </w:r>
          </w:p>
        </w:tc>
      </w:tr>
    </w:tbl>
    <w:p w14:paraId="3AD03DB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（三）供应商需提供的服务承诺</w:t>
      </w:r>
    </w:p>
    <w:p w14:paraId="5458637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1.同意采购人根据项目计划对项目组人员分批面试并引入。对于面试不合格的人员，供应商承诺在10个自然日内提供补充人员直至符合标准。</w:t>
      </w:r>
    </w:p>
    <w:p w14:paraId="41AA01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2.承诺可按照实际项目要求提供充足的高、中、初级人员，至少能提供2倍（含）以上候选人供采购人进行选择。</w:t>
      </w:r>
    </w:p>
    <w:p w14:paraId="66F89D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3.承诺面试候选人应为投标文件中人员列表上的人员或优于人员列表的人员。</w:t>
      </w:r>
    </w:p>
    <w:p w14:paraId="338288F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4.承诺已进入项目组的任何人员不得随意更换。如确实需要更换人员须经过采购人审核通过后方可换人。同时要求新换人员必须通过采购人的审核，且由供应商保证人员更换期间工作的连续性。</w:t>
      </w:r>
    </w:p>
    <w:p w14:paraId="2CEABDE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5.承诺已进入项目组的驻场服务人员，要提供人员简历、学历证明复印件及人员相关认证资质复印件，签署安全保密承诺书，并满足采购人管理要求：</w:t>
      </w:r>
    </w:p>
    <w:p w14:paraId="6D3FD43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（1）所有驻场服务人员必须遵守采购人作息制度和相关工作制度规定，提供5*8小时驻场服务。</w:t>
      </w:r>
    </w:p>
    <w:p w14:paraId="68A77EE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（2）驻场服务期间，所有驻场服务人员必须严格按照采购人各项规章制度合规开展工作；驻场服务地点为采购人指定地点。</w:t>
      </w:r>
    </w:p>
    <w:p w14:paraId="0C3353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任何驻场服务人员不得随意更换。如果更换人员则供应商应提前1个月通知采购人，并经过采购人审核通过后方可换人。同时要求新换人员必须通过采购人的审核，且由供应商保证人员更换期间支持工作的连续性；</w:t>
      </w:r>
    </w:p>
    <w:p w14:paraId="3BECA3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（4）如果支持人员因违反采购人工作纪律或相关运行制度，并给采购人造成了损失，则供应商有责任进行赔偿，具体赔偿标准见合同。</w:t>
      </w:r>
    </w:p>
    <w:p w14:paraId="30A03D2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（5）根据支持效果，对于不能够胜任支持工作的人员，采购人有权利要求供应商重新进行调换。同时由供应商保证人员更换期间支持工作的连续性。</w:t>
      </w:r>
    </w:p>
    <w:p w14:paraId="423D5258">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35" w:name="_Toc1220"/>
      <w:bookmarkStart w:id="36" w:name="_Toc2309"/>
      <w:bookmarkStart w:id="37" w:name="_Toc16686"/>
      <w:bookmarkStart w:id="38" w:name="_Toc25228"/>
      <w:r>
        <w:rPr>
          <w:rFonts w:ascii="Times New Roman" w:hAnsi="黑体" w:eastAsia="黑体" w:cs="Times New Roman"/>
          <w:b w:val="0"/>
          <w:bCs w:val="0"/>
          <w:color w:val="auto"/>
          <w:kern w:val="2"/>
          <w:sz w:val="24"/>
          <w:szCs w:val="24"/>
          <w:highlight w:val="none"/>
          <w:lang w:val="en-US" w:eastAsia="zh-CN" w:bidi="ar-SA"/>
        </w:rPr>
        <w:t>安全要求</w:t>
      </w:r>
      <w:bookmarkEnd w:id="34"/>
      <w:bookmarkEnd w:id="35"/>
      <w:bookmarkEnd w:id="36"/>
      <w:bookmarkEnd w:id="37"/>
      <w:bookmarkEnd w:id="38"/>
    </w:p>
    <w:p w14:paraId="5FCB24B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1、在法律合规方面，应有效规避服务过程中给采购人带来的法律风险。</w:t>
      </w:r>
    </w:p>
    <w:p w14:paraId="69E4766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2、在信息保密方面，供应商应有效规避因服务人员导致的银行信息（如业务数据和商务信息等）泄漏风险。</w:t>
      </w:r>
    </w:p>
    <w:p w14:paraId="79DE97F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3、在生产安全方面，公司应严格规避因人员操作不当，导致的银行系统出现安全性和稳定性风险事件。</w:t>
      </w:r>
    </w:p>
    <w:p w14:paraId="3CC948A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4、在安全审计方面，公司应确保针对银行设备的相关操作留有纸质或视频记录。</w:t>
      </w:r>
    </w:p>
    <w:p w14:paraId="77A3D8D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保密/知识产权要求（如有）供应商对项目实施中涉及到的相关数据、资料、文档等具有保密的义务，并应按照相应保密规定执行。本项目所形成的数据成果归采购人所有。未经采购人同意，供应商不得以商业目的使用该资料或者开发和生产其他产品。</w:t>
      </w:r>
    </w:p>
    <w:p w14:paraId="03A7B4A9">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39" w:name="_Toc14419"/>
      <w:bookmarkStart w:id="40" w:name="_Toc5815"/>
      <w:bookmarkStart w:id="41" w:name="_Toc4932"/>
      <w:bookmarkStart w:id="42" w:name="_Toc22161"/>
      <w:bookmarkStart w:id="43" w:name="_Toc6216"/>
      <w:r>
        <w:rPr>
          <w:rFonts w:ascii="Times New Roman" w:hAnsi="黑体" w:eastAsia="黑体" w:cs="Times New Roman"/>
          <w:b w:val="0"/>
          <w:bCs w:val="0"/>
          <w:color w:val="auto"/>
          <w:kern w:val="2"/>
          <w:sz w:val="24"/>
          <w:szCs w:val="24"/>
          <w:highlight w:val="none"/>
          <w:lang w:val="en-US" w:eastAsia="zh-CN" w:bidi="ar-SA"/>
        </w:rPr>
        <w:t>交付或实施时间、地点</w:t>
      </w:r>
      <w:bookmarkEnd w:id="39"/>
      <w:bookmarkEnd w:id="40"/>
      <w:bookmarkEnd w:id="41"/>
      <w:bookmarkEnd w:id="42"/>
      <w:bookmarkEnd w:id="43"/>
    </w:p>
    <w:p w14:paraId="799B83D9">
      <w:pPr>
        <w:adjustRightInd w:val="0"/>
        <w:spacing w:line="560" w:lineRule="exact"/>
        <w:ind w:firstLine="480" w:firstLineChars="200"/>
        <w:textAlignment w:val="baseline"/>
        <w:rPr>
          <w:rFonts w:ascii="Times New Roman" w:hAnsi="Times New Roman" w:eastAsia="仿宋_GB2312" w:cs="Times New Roman"/>
          <w:color w:val="auto"/>
          <w:sz w:val="24"/>
          <w:szCs w:val="24"/>
          <w:highlight w:val="none"/>
        </w:rPr>
      </w:pPr>
      <w:r>
        <w:rPr>
          <w:rFonts w:hint="eastAsia" w:ascii="Times New Roman" w:hAnsi="仿宋_GB2312" w:eastAsia="仿宋_GB2312" w:cs="Times New Roman"/>
          <w:color w:val="auto"/>
          <w:sz w:val="24"/>
          <w:szCs w:val="24"/>
          <w:highlight w:val="none"/>
          <w:lang w:eastAsia="zh-CN"/>
        </w:rPr>
        <w:t>（</w:t>
      </w:r>
      <w:r>
        <w:rPr>
          <w:rFonts w:hint="eastAsia" w:ascii="Times New Roman" w:hAnsi="仿宋_GB2312" w:eastAsia="仿宋_GB2312" w:cs="Times New Roman"/>
          <w:color w:val="auto"/>
          <w:sz w:val="24"/>
          <w:szCs w:val="24"/>
          <w:highlight w:val="none"/>
          <w:lang w:val="en-US" w:eastAsia="zh-CN"/>
        </w:rPr>
        <w:t>一</w:t>
      </w:r>
      <w:r>
        <w:rPr>
          <w:rFonts w:hint="eastAsia" w:ascii="Times New Roman" w:hAnsi="仿宋_GB2312" w:eastAsia="仿宋_GB2312" w:cs="Times New Roman"/>
          <w:color w:val="auto"/>
          <w:sz w:val="24"/>
          <w:szCs w:val="24"/>
          <w:highlight w:val="none"/>
          <w:lang w:eastAsia="zh-CN"/>
        </w:rPr>
        <w:t>）</w:t>
      </w:r>
      <w:r>
        <w:rPr>
          <w:rFonts w:ascii="Times New Roman" w:hAnsi="Times New Roman" w:eastAsia="仿宋_GB2312" w:cs="Times New Roman"/>
          <w:color w:val="auto"/>
          <w:sz w:val="24"/>
          <w:szCs w:val="24"/>
          <w:highlight w:val="none"/>
        </w:rPr>
        <w:t>项目</w:t>
      </w:r>
      <w:r>
        <w:rPr>
          <w:rFonts w:hint="default" w:ascii="Times New Roman" w:hAnsi="Times New Roman" w:eastAsia="仿宋_GB2312" w:cs="Times New Roman"/>
          <w:color w:val="auto"/>
          <w:sz w:val="24"/>
          <w:szCs w:val="24"/>
          <w:highlight w:val="none"/>
          <w:lang w:eastAsia="zh-CN"/>
        </w:rPr>
        <w:t>实施进度</w:t>
      </w:r>
      <w:r>
        <w:rPr>
          <w:rFonts w:ascii="Times New Roman" w:hAnsi="Times New Roman" w:eastAsia="仿宋_GB2312" w:cs="Times New Roman"/>
          <w:color w:val="auto"/>
          <w:sz w:val="24"/>
          <w:szCs w:val="24"/>
          <w:highlight w:val="none"/>
        </w:rPr>
        <w:t>：</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2180"/>
        <w:gridCol w:w="5466"/>
      </w:tblGrid>
      <w:tr w14:paraId="0B79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3" w:type="pct"/>
            <w:vAlign w:val="center"/>
          </w:tcPr>
          <w:p w14:paraId="711A4473">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序号</w:t>
            </w:r>
          </w:p>
        </w:tc>
        <w:tc>
          <w:tcPr>
            <w:tcW w:w="1279" w:type="pct"/>
            <w:vAlign w:val="center"/>
          </w:tcPr>
          <w:p w14:paraId="2C1BAE60">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实施阶段</w:t>
            </w:r>
          </w:p>
        </w:tc>
        <w:tc>
          <w:tcPr>
            <w:tcW w:w="3207" w:type="pct"/>
            <w:vAlign w:val="center"/>
          </w:tcPr>
          <w:p w14:paraId="2CF57A31">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项目周期</w:t>
            </w:r>
          </w:p>
        </w:tc>
      </w:tr>
      <w:tr w14:paraId="195E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3" w:type="pct"/>
            <w:vAlign w:val="center"/>
          </w:tcPr>
          <w:p w14:paraId="345DC6E2">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279" w:type="pct"/>
            <w:vAlign w:val="center"/>
          </w:tcPr>
          <w:p w14:paraId="39CD0DD8">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信息技术应用创新</w:t>
            </w:r>
            <w:r>
              <w:rPr>
                <w:rFonts w:hint="eastAsia" w:ascii="仿宋_GB2312" w:hAnsi="仿宋_GB2312" w:eastAsia="仿宋_GB2312" w:cs="仿宋_GB2312"/>
                <w:color w:val="auto"/>
                <w:sz w:val="24"/>
                <w:szCs w:val="24"/>
                <w:highlight w:val="none"/>
                <w:lang w:val="en-US" w:eastAsia="zh-CN"/>
              </w:rPr>
              <w:t>改造</w:t>
            </w:r>
          </w:p>
        </w:tc>
        <w:tc>
          <w:tcPr>
            <w:tcW w:w="3207" w:type="pct"/>
            <w:vAlign w:val="center"/>
          </w:tcPr>
          <w:p w14:paraId="3CFF8823">
            <w:pPr>
              <w:spacing w:line="240" w:lineRule="auto"/>
              <w:jc w:val="left"/>
              <w:rPr>
                <w:rFonts w:hint="default"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合同签订后6</w:t>
            </w:r>
            <w:r>
              <w:rPr>
                <w:rFonts w:hint="eastAsia" w:ascii="仿宋_GB2312" w:hAnsi="仿宋_GB2312" w:eastAsia="仿宋_GB2312" w:cs="仿宋_GB2312"/>
                <w:color w:val="auto"/>
                <w:sz w:val="24"/>
                <w:szCs w:val="24"/>
                <w:highlight w:val="none"/>
              </w:rPr>
              <w:t>个月内</w:t>
            </w:r>
            <w:r>
              <w:rPr>
                <w:rFonts w:hint="eastAsia" w:ascii="仿宋_GB2312" w:hAnsi="仿宋_GB2312" w:eastAsia="仿宋_GB2312" w:cs="仿宋_GB2312"/>
                <w:color w:val="auto"/>
                <w:sz w:val="24"/>
                <w:szCs w:val="24"/>
                <w:highlight w:val="none"/>
                <w:lang w:val="en-US" w:eastAsia="zh-CN"/>
              </w:rPr>
              <w:t>完成对二代征信前置查询系统产品的</w:t>
            </w:r>
            <w:r>
              <w:rPr>
                <w:rFonts w:hint="eastAsia" w:ascii="仿宋_GB2312" w:hAnsi="仿宋_GB2312" w:eastAsia="仿宋_GB2312" w:cs="仿宋_GB2312"/>
                <w:color w:val="auto"/>
                <w:sz w:val="24"/>
                <w:szCs w:val="24"/>
                <w:highlight w:val="none"/>
              </w:rPr>
              <w:t>信息技术应用创新</w:t>
            </w:r>
            <w:r>
              <w:rPr>
                <w:rFonts w:hint="eastAsia" w:ascii="仿宋_GB2312" w:hAnsi="仿宋_GB2312" w:eastAsia="仿宋_GB2312" w:cs="仿宋_GB2312"/>
                <w:color w:val="auto"/>
                <w:sz w:val="24"/>
                <w:szCs w:val="24"/>
                <w:highlight w:val="none"/>
                <w:lang w:val="en-US" w:eastAsia="zh-CN"/>
              </w:rPr>
              <w:t>改造并上线，持续稳定运行满三个月后进入保修期，保修期为12个月。</w:t>
            </w:r>
          </w:p>
        </w:tc>
      </w:tr>
    </w:tbl>
    <w:p w14:paraId="5B493E5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（二）服务地点：北京，中国进出口银行总行。</w:t>
      </w:r>
    </w:p>
    <w:p w14:paraId="6CA0129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（三）服务期限：自合同签订起至保修期结束。</w:t>
      </w:r>
    </w:p>
    <w:p w14:paraId="0E931337">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44" w:name="_Toc25162"/>
      <w:bookmarkStart w:id="45" w:name="_Toc7818"/>
      <w:bookmarkStart w:id="46" w:name="_Toc18402"/>
      <w:bookmarkStart w:id="47" w:name="_Toc26699"/>
      <w:bookmarkStart w:id="48" w:name="_Toc24439"/>
      <w:r>
        <w:rPr>
          <w:rFonts w:ascii="Times New Roman" w:hAnsi="黑体" w:eastAsia="黑体" w:cs="Times New Roman"/>
          <w:b w:val="0"/>
          <w:bCs w:val="0"/>
          <w:color w:val="auto"/>
          <w:kern w:val="2"/>
          <w:sz w:val="24"/>
          <w:szCs w:val="24"/>
          <w:highlight w:val="none"/>
          <w:lang w:val="en-US" w:eastAsia="zh-CN" w:bidi="ar-SA"/>
        </w:rPr>
        <w:t>财务支付要求</w:t>
      </w:r>
      <w:bookmarkEnd w:id="44"/>
      <w:bookmarkEnd w:id="45"/>
      <w:bookmarkEnd w:id="46"/>
      <w:bookmarkEnd w:id="47"/>
    </w:p>
    <w:bookmarkEnd w:id="48"/>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904"/>
        <w:gridCol w:w="2563"/>
        <w:gridCol w:w="3343"/>
      </w:tblGrid>
      <w:tr w14:paraId="6C6D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35138341">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序号</w:t>
            </w:r>
          </w:p>
        </w:tc>
        <w:tc>
          <w:tcPr>
            <w:tcW w:w="1117" w:type="pct"/>
            <w:vAlign w:val="center"/>
          </w:tcPr>
          <w:p w14:paraId="46433769">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付款节点</w:t>
            </w:r>
          </w:p>
        </w:tc>
        <w:tc>
          <w:tcPr>
            <w:tcW w:w="1504" w:type="pct"/>
            <w:vAlign w:val="center"/>
          </w:tcPr>
          <w:p w14:paraId="63BA705B">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付款条件</w:t>
            </w:r>
          </w:p>
        </w:tc>
        <w:tc>
          <w:tcPr>
            <w:tcW w:w="1961" w:type="pct"/>
            <w:vAlign w:val="center"/>
          </w:tcPr>
          <w:p w14:paraId="1C5846AD">
            <w:pPr>
              <w:jc w:val="center"/>
              <w:rPr>
                <w:rFonts w:ascii="Times New Roman" w:hAnsi="Times New Roman" w:eastAsia="仿宋_GB2312" w:cs="Times New Roman"/>
                <w:b/>
                <w:bCs/>
                <w:color w:val="auto"/>
                <w:sz w:val="24"/>
                <w:szCs w:val="24"/>
                <w:highlight w:val="none"/>
              </w:rPr>
            </w:pPr>
            <w:r>
              <w:rPr>
                <w:rFonts w:ascii="Times New Roman" w:hAnsi="楷体" w:eastAsia="仿宋_GB2312" w:cs="Times New Roman"/>
                <w:b/>
                <w:bCs/>
                <w:color w:val="auto"/>
                <w:sz w:val="24"/>
                <w:szCs w:val="24"/>
                <w:highlight w:val="none"/>
              </w:rPr>
              <w:t>付款比例</w:t>
            </w:r>
            <w:r>
              <w:rPr>
                <w:rFonts w:ascii="Times New Roman" w:hAnsi="Times New Roman" w:eastAsia="仿宋_GB2312" w:cs="Times New Roman"/>
                <w:b/>
                <w:bCs/>
                <w:color w:val="auto"/>
                <w:sz w:val="24"/>
                <w:szCs w:val="24"/>
                <w:highlight w:val="none"/>
              </w:rPr>
              <w:t>(</w:t>
            </w:r>
            <w:r>
              <w:rPr>
                <w:rFonts w:ascii="Times New Roman" w:hAnsi="楷体" w:eastAsia="仿宋_GB2312" w:cs="Times New Roman"/>
                <w:b/>
                <w:bCs/>
                <w:color w:val="auto"/>
                <w:sz w:val="24"/>
                <w:szCs w:val="24"/>
                <w:highlight w:val="none"/>
              </w:rPr>
              <w:t>或金额</w:t>
            </w:r>
            <w:r>
              <w:rPr>
                <w:rFonts w:ascii="Times New Roman" w:hAnsi="Times New Roman" w:eastAsia="仿宋_GB2312" w:cs="Times New Roman"/>
                <w:b/>
                <w:bCs/>
                <w:color w:val="auto"/>
                <w:sz w:val="24"/>
                <w:szCs w:val="24"/>
                <w:highlight w:val="none"/>
              </w:rPr>
              <w:t>)</w:t>
            </w:r>
          </w:p>
        </w:tc>
      </w:tr>
      <w:tr w14:paraId="12BB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5171BDD8">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p>
        </w:tc>
        <w:tc>
          <w:tcPr>
            <w:tcW w:w="1117" w:type="pct"/>
            <w:vAlign w:val="center"/>
          </w:tcPr>
          <w:p w14:paraId="32AE84F1">
            <w:pPr>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第一次付款</w:t>
            </w:r>
          </w:p>
        </w:tc>
        <w:tc>
          <w:tcPr>
            <w:tcW w:w="1504" w:type="pct"/>
            <w:vAlign w:val="center"/>
          </w:tcPr>
          <w:p w14:paraId="2532BA95">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投产</w:t>
            </w:r>
            <w:r>
              <w:rPr>
                <w:rFonts w:hint="eastAsia" w:ascii="仿宋_GB2312" w:hAnsi="仿宋_GB2312" w:eastAsia="仿宋_GB2312" w:cs="仿宋_GB2312"/>
                <w:color w:val="auto"/>
                <w:sz w:val="24"/>
                <w:szCs w:val="24"/>
                <w:highlight w:val="none"/>
                <w:lang w:val="en-US" w:eastAsia="zh-CN"/>
              </w:rPr>
              <w:t>上线后稳定运行3个月</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且通过验收，</w:t>
            </w:r>
            <w:r>
              <w:rPr>
                <w:rFonts w:hint="eastAsia" w:ascii="仿宋_GB2312" w:hAnsi="仿宋_GB2312" w:eastAsia="仿宋_GB2312" w:cs="仿宋_GB2312"/>
                <w:color w:val="auto"/>
                <w:sz w:val="24"/>
                <w:szCs w:val="24"/>
                <w:highlight w:val="none"/>
              </w:rPr>
              <w:t>在甲方收到乙方提供的正式发票15个工作日内</w:t>
            </w:r>
            <w:r>
              <w:rPr>
                <w:rFonts w:hint="eastAsia" w:ascii="仿宋_GB2312" w:hAnsi="仿宋_GB2312" w:eastAsia="仿宋_GB2312" w:cs="仿宋_GB2312"/>
                <w:color w:val="auto"/>
                <w:sz w:val="24"/>
                <w:szCs w:val="24"/>
                <w:highlight w:val="none"/>
                <w:lang w:eastAsia="zh-CN"/>
              </w:rPr>
              <w:t>。</w:t>
            </w:r>
          </w:p>
        </w:tc>
        <w:tc>
          <w:tcPr>
            <w:tcW w:w="1961" w:type="pct"/>
            <w:vAlign w:val="center"/>
          </w:tcPr>
          <w:p w14:paraId="19AFBDB2">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付款至总合同金额70%</w:t>
            </w:r>
          </w:p>
        </w:tc>
      </w:tr>
      <w:tr w14:paraId="730D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14:paraId="0705247F">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2</w:t>
            </w:r>
          </w:p>
        </w:tc>
        <w:tc>
          <w:tcPr>
            <w:tcW w:w="1117" w:type="pct"/>
            <w:vAlign w:val="center"/>
          </w:tcPr>
          <w:p w14:paraId="450B792A">
            <w:pPr>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尾款</w:t>
            </w:r>
          </w:p>
        </w:tc>
        <w:tc>
          <w:tcPr>
            <w:tcW w:w="1504" w:type="pct"/>
            <w:vAlign w:val="center"/>
          </w:tcPr>
          <w:p w14:paraId="162E93A8">
            <w:pPr>
              <w:spacing w:line="240" w:lineRule="auto"/>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保修期结束，</w:t>
            </w:r>
            <w:r>
              <w:rPr>
                <w:rFonts w:hint="eastAsia" w:ascii="仿宋_GB2312" w:hAnsi="仿宋_GB2312" w:eastAsia="仿宋_GB2312" w:cs="仿宋_GB2312"/>
                <w:color w:val="auto"/>
                <w:sz w:val="24"/>
                <w:szCs w:val="24"/>
                <w:highlight w:val="none"/>
              </w:rPr>
              <w:t>在甲方收到乙方提供的正式发票15个工作日内</w:t>
            </w:r>
            <w:r>
              <w:rPr>
                <w:rFonts w:hint="eastAsia" w:ascii="仿宋_GB2312" w:hAnsi="仿宋_GB2312" w:eastAsia="仿宋_GB2312" w:cs="仿宋_GB2312"/>
                <w:color w:val="auto"/>
                <w:sz w:val="24"/>
                <w:szCs w:val="24"/>
                <w:highlight w:val="none"/>
                <w:lang w:eastAsia="zh-CN"/>
              </w:rPr>
              <w:t>。</w:t>
            </w:r>
          </w:p>
        </w:tc>
        <w:tc>
          <w:tcPr>
            <w:tcW w:w="1961" w:type="pct"/>
            <w:vAlign w:val="center"/>
          </w:tcPr>
          <w:p w14:paraId="480FA7C7">
            <w:pPr>
              <w:spacing w:line="24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付款至总合同金额100%</w:t>
            </w:r>
          </w:p>
        </w:tc>
      </w:tr>
    </w:tbl>
    <w:p w14:paraId="25BE4F19">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49" w:name="_Toc5788"/>
      <w:bookmarkStart w:id="50" w:name="_Toc28313"/>
      <w:bookmarkStart w:id="51" w:name="_Toc29060"/>
      <w:bookmarkStart w:id="52" w:name="_Toc8242"/>
      <w:bookmarkStart w:id="53" w:name="_Toc17123"/>
      <w:bookmarkStart w:id="54" w:name="_Toc27093"/>
      <w:r>
        <w:rPr>
          <w:rFonts w:ascii="Times New Roman" w:hAnsi="黑体" w:eastAsia="黑体" w:cs="Times New Roman"/>
          <w:b w:val="0"/>
          <w:bCs w:val="0"/>
          <w:color w:val="auto"/>
          <w:kern w:val="2"/>
          <w:sz w:val="24"/>
          <w:szCs w:val="24"/>
          <w:highlight w:val="none"/>
          <w:lang w:val="en-US" w:eastAsia="zh-CN" w:bidi="ar-SA"/>
        </w:rPr>
        <w:t>履约验收方案</w:t>
      </w:r>
      <w:bookmarkEnd w:id="49"/>
      <w:bookmarkEnd w:id="50"/>
      <w:bookmarkEnd w:id="51"/>
      <w:bookmarkEnd w:id="52"/>
      <w:bookmarkEnd w:id="53"/>
      <w:bookmarkEnd w:id="54"/>
    </w:p>
    <w:p w14:paraId="136173C1">
      <w:pPr>
        <w:keepNext/>
        <w:keepLines/>
        <w:widowControl w:val="0"/>
        <w:adjustRightInd w:val="0"/>
        <w:spacing w:before="0" w:beforeLines="0" w:after="0" w:afterLines="0" w:line="560" w:lineRule="exact"/>
        <w:ind w:firstLine="482" w:firstLineChars="200"/>
        <w:jc w:val="both"/>
        <w:textAlignment w:val="baseline"/>
        <w:outlineLvl w:val="1"/>
        <w:rPr>
          <w:rFonts w:hint="eastAsia" w:ascii="楷体_GB2312" w:hAnsi="楷体_GB2312" w:eastAsia="楷体_GB2312" w:cs="楷体_GB2312"/>
          <w:b/>
          <w:bCs/>
          <w:color w:val="auto"/>
          <w:kern w:val="2"/>
          <w:sz w:val="24"/>
          <w:szCs w:val="24"/>
          <w:highlight w:val="none"/>
          <w:lang w:val="en-US" w:eastAsia="zh-CN" w:bidi="ar-SA"/>
        </w:rPr>
      </w:pPr>
      <w:bookmarkStart w:id="55" w:name="_Toc199219954"/>
      <w:bookmarkStart w:id="56" w:name="_Toc427324160"/>
      <w:bookmarkStart w:id="57" w:name="_Toc241634330"/>
      <w:bookmarkStart w:id="58" w:name="_Toc339888460"/>
      <w:r>
        <w:rPr>
          <w:rFonts w:hint="eastAsia" w:ascii="楷体_GB2312" w:hAnsi="楷体_GB2312" w:eastAsia="楷体_GB2312" w:cs="楷体_GB2312"/>
          <w:b/>
          <w:bCs/>
          <w:color w:val="auto"/>
          <w:kern w:val="2"/>
          <w:sz w:val="24"/>
          <w:szCs w:val="24"/>
          <w:highlight w:val="none"/>
          <w:lang w:val="en-US" w:eastAsia="zh-CN" w:bidi="ar-SA"/>
        </w:rPr>
        <w:t>（一）履约验收的主体、时间、程序</w:t>
      </w:r>
    </w:p>
    <w:p w14:paraId="161A3D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1.项目验收标准。</w:t>
      </w:r>
    </w:p>
    <w:p w14:paraId="3EAAAF4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本项目成功投产上线并稳定运行3个月后，可以开始项目验收。</w:t>
      </w:r>
    </w:p>
    <w:p w14:paraId="55438FD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2.项目验收流程。</w:t>
      </w:r>
    </w:p>
    <w:p w14:paraId="40C0CAC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在供应商提交了相应阶段的文档交付物或软件交付物后，由</w:t>
      </w:r>
      <w:r>
        <w:rPr>
          <w:rFonts w:hint="eastAsia" w:ascii="仿宋_GB2312" w:hAnsi="仿宋_GB2312" w:eastAsia="仿宋_GB2312" w:cs="仿宋_GB2312"/>
          <w:color w:val="auto"/>
          <w:kern w:val="2"/>
          <w:sz w:val="24"/>
          <w:szCs w:val="24"/>
          <w:highlight w:val="none"/>
          <w:lang w:val="en-US" w:eastAsia="zh-CN" w:bidi="ar-SA"/>
        </w:rPr>
        <w:t>采购人</w:t>
      </w:r>
      <w:r>
        <w:rPr>
          <w:rFonts w:hint="eastAsia" w:ascii="仿宋_GB2312" w:hAnsi="仿宋_GB2312" w:eastAsia="仿宋_GB2312" w:cs="仿宋_GB2312"/>
          <w:color w:val="auto"/>
          <w:sz w:val="24"/>
          <w:szCs w:val="24"/>
          <w:highlight w:val="none"/>
          <w:lang w:val="en-US" w:eastAsia="zh-CN"/>
        </w:rPr>
        <w:t>在收到交付物的【10】个工作日内，按验收标准对文档交付物或软件交付物进行验收，或书面提出与验收标准不符之处及改进建议，由供应商在收到中国进出口银行书面反馈后的【10】个工作日内按改进建议进行修改后，再次提交验收。</w:t>
      </w:r>
    </w:p>
    <w:p w14:paraId="171E091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对各交付物的整个验收流程应该在自首次提交之日起的【20】个工作日内完成。</w:t>
      </w:r>
    </w:p>
    <w:p w14:paraId="065266B5">
      <w:pPr>
        <w:keepNext/>
        <w:keepLines/>
        <w:pageBreakBefore w:val="0"/>
        <w:widowControl w:val="0"/>
        <w:kinsoku/>
        <w:wordWrap/>
        <w:overflowPunct/>
        <w:topLinePunct w:val="0"/>
        <w:autoSpaceDE/>
        <w:autoSpaceDN/>
        <w:bidi w:val="0"/>
        <w:adjustRightInd w:val="0"/>
        <w:snapToGrid/>
        <w:spacing w:before="0" w:beforeLines="0" w:after="0" w:afterLines="0" w:line="560" w:lineRule="exact"/>
        <w:ind w:firstLine="482" w:firstLineChars="200"/>
        <w:jc w:val="both"/>
        <w:textAlignment w:val="baseline"/>
        <w:outlineLvl w:val="1"/>
        <w:rPr>
          <w:rFonts w:hint="eastAsia" w:ascii="楷体_GB2312" w:hAnsi="楷体_GB2312" w:eastAsia="楷体_GB2312" w:cs="楷体_GB2312"/>
          <w:b/>
          <w:bCs/>
          <w:color w:val="auto"/>
          <w:kern w:val="2"/>
          <w:sz w:val="24"/>
          <w:szCs w:val="24"/>
          <w:highlight w:val="none"/>
          <w:lang w:val="en-US" w:eastAsia="zh-CN" w:bidi="ar-SA"/>
        </w:rPr>
      </w:pPr>
      <w:r>
        <w:rPr>
          <w:rFonts w:hint="eastAsia" w:ascii="楷体_GB2312" w:hAnsi="楷体_GB2312" w:eastAsia="楷体_GB2312" w:cs="楷体_GB2312"/>
          <w:b/>
          <w:bCs/>
          <w:color w:val="auto"/>
          <w:kern w:val="2"/>
          <w:sz w:val="24"/>
          <w:szCs w:val="24"/>
          <w:highlight w:val="none"/>
          <w:lang w:val="en-US" w:eastAsia="zh-CN" w:bidi="ar-SA"/>
        </w:rPr>
        <w:t>（二）履约验收内容和标准</w:t>
      </w:r>
    </w:p>
    <w:p w14:paraId="683399D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1.验收内容。</w:t>
      </w:r>
    </w:p>
    <w:p w14:paraId="25EF5FD7">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baseline"/>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验收交付物包括但不限于文档资料、代码、上线版本</w:t>
      </w:r>
      <w:r>
        <w:rPr>
          <w:rFonts w:hint="eastAsia" w:ascii="仿宋_GB2312" w:hAnsi="仿宋_GB2312" w:eastAsia="仿宋_GB2312" w:cs="仿宋_GB2312"/>
          <w:color w:val="auto"/>
          <w:sz w:val="24"/>
          <w:szCs w:val="24"/>
          <w:highlight w:val="none"/>
          <w:lang w:eastAsia="zh-CN"/>
        </w:rPr>
        <w:t>；</w:t>
      </w:r>
    </w:p>
    <w:p w14:paraId="5D0D672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2.验收条件。</w:t>
      </w:r>
    </w:p>
    <w:p w14:paraId="087A63B1">
      <w:pPr>
        <w:widowControl w:val="0"/>
        <w:spacing w:afterLines="0" w:line="560" w:lineRule="exact"/>
        <w:ind w:firstLine="480" w:firstLineChars="200"/>
        <w:jc w:val="both"/>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本项目成功投产上线，各阶段工作任务完成，满足采购人的使用要求，并且提交本项目的所有正式交付件。</w:t>
      </w:r>
    </w:p>
    <w:p w14:paraId="35EC0A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3.文档验收标准。</w:t>
      </w:r>
    </w:p>
    <w:p w14:paraId="728188D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（1）文档内容应包含对应工作阶段的所有工作任务的最终成果；</w:t>
      </w:r>
    </w:p>
    <w:p w14:paraId="40E734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（2）文档内容无重大分歧，采购人能够接受文档中的主要观点、认可文档中所体现的工作成果；</w:t>
      </w:r>
    </w:p>
    <w:p w14:paraId="0212DB0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（3）描述某一独立完整的系统功能的章节不存在颠覆性的错误（包括不真实、遗漏、误差、以及对使用者可能产生误导的信息）；</w:t>
      </w:r>
    </w:p>
    <w:p w14:paraId="7AC3411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（4）文字无重大或误导性错误，一般性错误的总字数不超过文档总字数的0.5％。</w:t>
      </w:r>
    </w:p>
    <w:p w14:paraId="235EA93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4.系统验收标准。</w:t>
      </w:r>
    </w:p>
    <w:p w14:paraId="4A9167D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（1）系统投产上线后，系统运行正常；</w:t>
      </w:r>
    </w:p>
    <w:p w14:paraId="22A4EA3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（2）系统符合本工作说明书、业务需求及运维的要求；</w:t>
      </w:r>
    </w:p>
    <w:p w14:paraId="0A96037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（3）系统设计符合系统集成规划和标准；</w:t>
      </w:r>
    </w:p>
    <w:p w14:paraId="4AC8F0E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（4）系统的安全等级保护基本要求满足国家标准中对本系统的相应要求；</w:t>
      </w:r>
    </w:p>
    <w:p w14:paraId="7E01DF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（5）系统设计质量符合国家及行业标准。</w:t>
      </w:r>
    </w:p>
    <w:p w14:paraId="004572D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5.SLA 考核指标。</w:t>
      </w:r>
    </w:p>
    <w:bookmarkEnd w:id="55"/>
    <w:bookmarkEnd w:id="56"/>
    <w:bookmarkEnd w:id="57"/>
    <w:bookmarkEnd w:id="58"/>
    <w:p w14:paraId="325620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bookmarkStart w:id="59" w:name="_Toc15097"/>
      <w:bookmarkStart w:id="60" w:name="_Toc20402"/>
      <w:r>
        <w:rPr>
          <w:rFonts w:hint="eastAsia" w:ascii="仿宋_GB2312" w:hAnsi="仿宋_GB2312" w:eastAsia="仿宋_GB2312" w:cs="仿宋_GB2312"/>
          <w:color w:val="auto"/>
          <w:sz w:val="24"/>
          <w:szCs w:val="24"/>
          <w:highlight w:val="none"/>
          <w:lang w:val="en-US" w:eastAsia="zh-CN"/>
        </w:rPr>
        <w:t>（1）指标。</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61"/>
        <w:gridCol w:w="1421"/>
        <w:gridCol w:w="1261"/>
        <w:gridCol w:w="3842"/>
        <w:gridCol w:w="577"/>
      </w:tblGrid>
      <w:tr w14:paraId="4783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 w:type="pct"/>
            <w:vAlign w:val="center"/>
          </w:tcPr>
          <w:p w14:paraId="4667FD71">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序号</w:t>
            </w:r>
          </w:p>
        </w:tc>
        <w:tc>
          <w:tcPr>
            <w:tcW w:w="592" w:type="pct"/>
            <w:vAlign w:val="center"/>
          </w:tcPr>
          <w:p w14:paraId="11902D2F">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指标</w:t>
            </w:r>
          </w:p>
          <w:p w14:paraId="5313A2AB">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名称</w:t>
            </w:r>
          </w:p>
        </w:tc>
        <w:tc>
          <w:tcPr>
            <w:tcW w:w="862" w:type="pct"/>
            <w:vAlign w:val="center"/>
          </w:tcPr>
          <w:p w14:paraId="397FEF86">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量化标准</w:t>
            </w:r>
          </w:p>
        </w:tc>
        <w:tc>
          <w:tcPr>
            <w:tcW w:w="768" w:type="pct"/>
            <w:vAlign w:val="center"/>
          </w:tcPr>
          <w:p w14:paraId="6E108E00">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说明</w:t>
            </w:r>
          </w:p>
        </w:tc>
        <w:tc>
          <w:tcPr>
            <w:tcW w:w="2282" w:type="pct"/>
            <w:vAlign w:val="center"/>
          </w:tcPr>
          <w:p w14:paraId="1DD660B7">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评估方式</w:t>
            </w:r>
          </w:p>
          <w:p w14:paraId="15C19715">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（优100-良80-中60-差0）</w:t>
            </w:r>
          </w:p>
        </w:tc>
        <w:tc>
          <w:tcPr>
            <w:tcW w:w="274" w:type="pct"/>
            <w:vAlign w:val="center"/>
          </w:tcPr>
          <w:p w14:paraId="036C43F2">
            <w:pPr>
              <w:keepNext w:val="0"/>
              <w:keepLines w:val="0"/>
              <w:pageBreakBefore w:val="0"/>
              <w:widowControl/>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kern w:val="0"/>
                <w:sz w:val="24"/>
                <w:szCs w:val="24"/>
                <w:highlight w:val="none"/>
                <w:lang w:val="en-GB"/>
              </w:rPr>
            </w:pPr>
            <w:r>
              <w:rPr>
                <w:rFonts w:hint="eastAsia" w:ascii="仿宋_GB2312" w:hAnsi="仿宋_GB2312" w:eastAsia="仿宋_GB2312" w:cs="仿宋_GB2312"/>
                <w:b/>
                <w:bCs/>
                <w:color w:val="auto"/>
                <w:kern w:val="0"/>
                <w:sz w:val="24"/>
                <w:szCs w:val="24"/>
                <w:highlight w:val="none"/>
                <w:lang w:val="en-GB"/>
              </w:rPr>
              <w:t>指标占比</w:t>
            </w:r>
          </w:p>
        </w:tc>
      </w:tr>
      <w:tr w14:paraId="773C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 w:type="pct"/>
            <w:vAlign w:val="center"/>
          </w:tcPr>
          <w:p w14:paraId="676E120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1</w:t>
            </w:r>
          </w:p>
        </w:tc>
        <w:tc>
          <w:tcPr>
            <w:tcW w:w="592" w:type="pct"/>
            <w:vAlign w:val="center"/>
          </w:tcPr>
          <w:p w14:paraId="3984FDE2">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本项目进度及计划执行率</w:t>
            </w:r>
          </w:p>
        </w:tc>
        <w:tc>
          <w:tcPr>
            <w:tcW w:w="862" w:type="pct"/>
            <w:vAlign w:val="center"/>
          </w:tcPr>
          <w:p w14:paraId="5EDE46FC">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各阶段累计工作延后完成天数/各阶段累计计划天数</w:t>
            </w:r>
          </w:p>
        </w:tc>
        <w:tc>
          <w:tcPr>
            <w:tcW w:w="768" w:type="pct"/>
            <w:vAlign w:val="center"/>
          </w:tcPr>
          <w:p w14:paraId="02662976">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每一阶段完成后，</w:t>
            </w:r>
            <w:r>
              <w:rPr>
                <w:rFonts w:hint="eastAsia" w:ascii="仿宋_GB2312" w:hAnsi="仿宋_GB2312" w:eastAsia="仿宋_GB2312" w:cs="仿宋_GB2312"/>
                <w:color w:val="auto"/>
                <w:kern w:val="0"/>
                <w:sz w:val="24"/>
                <w:szCs w:val="24"/>
                <w:highlight w:val="none"/>
                <w:lang w:val="en-US" w:eastAsia="zh-CN" w:bidi="ar-SA"/>
              </w:rPr>
              <w:t>根据需要</w:t>
            </w:r>
            <w:r>
              <w:rPr>
                <w:rFonts w:hint="eastAsia" w:ascii="仿宋_GB2312" w:hAnsi="仿宋_GB2312" w:eastAsia="仿宋_GB2312" w:cs="仿宋_GB2312"/>
                <w:color w:val="auto"/>
                <w:kern w:val="0"/>
                <w:sz w:val="24"/>
                <w:szCs w:val="24"/>
                <w:highlight w:val="none"/>
                <w:lang w:val="de-DE" w:eastAsia="zh-CN" w:bidi="ar-SA"/>
              </w:rPr>
              <w:t>进行项目计划的调整，考核每一阶段由于</w:t>
            </w:r>
            <w:r>
              <w:rPr>
                <w:rFonts w:hint="eastAsia" w:ascii="仿宋_GB2312" w:hAnsi="仿宋_GB2312" w:eastAsia="仿宋_GB2312" w:cs="仿宋_GB2312"/>
                <w:color w:val="auto"/>
                <w:kern w:val="0"/>
                <w:sz w:val="24"/>
                <w:szCs w:val="24"/>
                <w:highlight w:val="none"/>
                <w:lang w:val="en-US" w:eastAsia="zh-CN" w:bidi="ar-SA"/>
              </w:rPr>
              <w:t>乙方</w:t>
            </w:r>
            <w:r>
              <w:rPr>
                <w:rFonts w:hint="eastAsia" w:ascii="仿宋_GB2312" w:hAnsi="仿宋_GB2312" w:eastAsia="仿宋_GB2312" w:cs="仿宋_GB2312"/>
                <w:color w:val="auto"/>
                <w:kern w:val="0"/>
                <w:sz w:val="24"/>
                <w:szCs w:val="24"/>
                <w:highlight w:val="none"/>
                <w:lang w:val="de-DE" w:eastAsia="zh-CN" w:bidi="ar-SA"/>
              </w:rPr>
              <w:t>原因造成比计划延误的比率。</w:t>
            </w:r>
          </w:p>
        </w:tc>
        <w:tc>
          <w:tcPr>
            <w:tcW w:w="2282" w:type="pct"/>
            <w:vAlign w:val="center"/>
          </w:tcPr>
          <w:p w14:paraId="57A06755">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1. 计划延误率≤</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        优</w:t>
            </w:r>
          </w:p>
          <w:p w14:paraId="3780FE9D">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 xml:space="preserve">2. </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%＜计划延误率≤</w:t>
            </w:r>
            <w:r>
              <w:rPr>
                <w:rFonts w:hint="eastAsia" w:ascii="仿宋_GB2312" w:hAnsi="仿宋_GB2312" w:eastAsia="仿宋_GB2312" w:cs="仿宋_GB2312"/>
                <w:color w:val="auto"/>
                <w:kern w:val="0"/>
                <w:sz w:val="24"/>
                <w:szCs w:val="24"/>
                <w:highlight w:val="none"/>
                <w:lang w:val="en-US" w:eastAsia="zh-CN" w:bidi="ar-SA"/>
              </w:rPr>
              <w:t>10</w:t>
            </w:r>
            <w:r>
              <w:rPr>
                <w:rFonts w:hint="eastAsia" w:ascii="仿宋_GB2312" w:hAnsi="仿宋_GB2312" w:eastAsia="仿宋_GB2312" w:cs="仿宋_GB2312"/>
                <w:color w:val="auto"/>
                <w:kern w:val="0"/>
                <w:sz w:val="24"/>
                <w:szCs w:val="24"/>
                <w:highlight w:val="none"/>
                <w:lang w:val="en-GB" w:eastAsia="zh-CN" w:bidi="ar-SA"/>
              </w:rPr>
              <w:t>%   良</w:t>
            </w:r>
          </w:p>
          <w:p w14:paraId="5E61B85F">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3.</w:t>
            </w:r>
            <w:r>
              <w:rPr>
                <w:rFonts w:hint="eastAsia" w:ascii="仿宋_GB2312" w:hAnsi="仿宋_GB2312" w:eastAsia="仿宋_GB2312" w:cs="仿宋_GB2312"/>
                <w:color w:val="auto"/>
                <w:kern w:val="0"/>
                <w:sz w:val="24"/>
                <w:szCs w:val="24"/>
                <w:highlight w:val="none"/>
                <w:lang w:val="en-US" w:eastAsia="zh-CN" w:bidi="ar-SA"/>
              </w:rPr>
              <w:t xml:space="preserve"> 10</w:t>
            </w:r>
            <w:r>
              <w:rPr>
                <w:rFonts w:hint="eastAsia" w:ascii="仿宋_GB2312" w:hAnsi="仿宋_GB2312" w:eastAsia="仿宋_GB2312" w:cs="仿宋_GB2312"/>
                <w:color w:val="auto"/>
                <w:kern w:val="0"/>
                <w:sz w:val="24"/>
                <w:szCs w:val="24"/>
                <w:highlight w:val="none"/>
                <w:lang w:val="en-GB" w:eastAsia="zh-CN" w:bidi="ar-SA"/>
              </w:rPr>
              <w:t>%＜计划延误率≤15%  中</w:t>
            </w:r>
          </w:p>
          <w:p w14:paraId="53DCF518">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4.</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15%＜计划延误率       差</w:t>
            </w:r>
          </w:p>
        </w:tc>
        <w:tc>
          <w:tcPr>
            <w:tcW w:w="274" w:type="pct"/>
            <w:vAlign w:val="center"/>
          </w:tcPr>
          <w:p w14:paraId="5ABAD71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4</w:t>
            </w:r>
            <w:r>
              <w:rPr>
                <w:rFonts w:hint="eastAsia" w:ascii="仿宋_GB2312" w:hAnsi="仿宋_GB2312" w:eastAsia="仿宋_GB2312" w:cs="仿宋_GB2312"/>
                <w:color w:val="auto"/>
                <w:kern w:val="0"/>
                <w:sz w:val="24"/>
                <w:szCs w:val="24"/>
                <w:highlight w:val="none"/>
                <w:lang w:val="de-DE" w:eastAsia="zh-CN" w:bidi="ar-SA"/>
              </w:rPr>
              <w:t>0%</w:t>
            </w:r>
          </w:p>
        </w:tc>
      </w:tr>
      <w:tr w14:paraId="004F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 w:type="pct"/>
            <w:vAlign w:val="center"/>
          </w:tcPr>
          <w:p w14:paraId="4DCF462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2</w:t>
            </w:r>
          </w:p>
        </w:tc>
        <w:tc>
          <w:tcPr>
            <w:tcW w:w="592" w:type="pct"/>
            <w:vAlign w:val="center"/>
          </w:tcPr>
          <w:p w14:paraId="44C091A3">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项目投产后问题数量</w:t>
            </w:r>
          </w:p>
        </w:tc>
        <w:tc>
          <w:tcPr>
            <w:tcW w:w="862" w:type="pct"/>
            <w:vAlign w:val="center"/>
          </w:tcPr>
          <w:p w14:paraId="0EB86478">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投产后</w:t>
            </w:r>
            <w:r>
              <w:rPr>
                <w:rFonts w:hint="eastAsia" w:ascii="仿宋_GB2312" w:hAnsi="仿宋_GB2312" w:eastAsia="仿宋_GB2312" w:cs="仿宋_GB2312"/>
                <w:color w:val="auto"/>
                <w:kern w:val="0"/>
                <w:sz w:val="24"/>
                <w:szCs w:val="24"/>
                <w:highlight w:val="none"/>
                <w:lang w:val="en-US" w:eastAsia="zh-CN" w:bidi="ar-SA"/>
              </w:rPr>
              <w:t>3个月内</w:t>
            </w:r>
            <w:r>
              <w:rPr>
                <w:rFonts w:hint="eastAsia" w:ascii="仿宋_GB2312" w:hAnsi="仿宋_GB2312" w:eastAsia="仿宋_GB2312" w:cs="仿宋_GB2312"/>
                <w:color w:val="auto"/>
                <w:kern w:val="0"/>
                <w:sz w:val="24"/>
                <w:szCs w:val="24"/>
                <w:highlight w:val="none"/>
                <w:lang w:val="de-DE" w:eastAsia="zh-CN" w:bidi="ar-SA"/>
              </w:rPr>
              <w:t>累计问题数</w:t>
            </w:r>
          </w:p>
        </w:tc>
        <w:tc>
          <w:tcPr>
            <w:tcW w:w="768" w:type="pct"/>
            <w:vAlign w:val="center"/>
          </w:tcPr>
          <w:p w14:paraId="169C7F16">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de-DE" w:eastAsia="zh-CN" w:bidi="ar-SA"/>
              </w:rPr>
              <w:t>程序缺陷导致的问题去重后进行累计。</w:t>
            </w:r>
          </w:p>
        </w:tc>
        <w:tc>
          <w:tcPr>
            <w:tcW w:w="2282" w:type="pct"/>
            <w:vAlign w:val="center"/>
          </w:tcPr>
          <w:p w14:paraId="679B2181">
            <w:pPr>
              <w:keepNext w:val="0"/>
              <w:keepLines w:val="0"/>
              <w:pageBreakBefore w:val="0"/>
              <w:widowControl/>
              <w:numPr>
                <w:ilvl w:val="0"/>
                <w:numId w:val="3"/>
              </w:numPr>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 xml:space="preserve">问题数≤5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优</w:t>
            </w:r>
          </w:p>
          <w:p w14:paraId="2B3ABD35">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2.</w:t>
            </w:r>
            <w:r>
              <w:rPr>
                <w:rFonts w:hint="eastAsia" w:ascii="仿宋_GB2312" w:hAnsi="仿宋_GB2312" w:eastAsia="仿宋_GB2312" w:cs="仿宋_GB2312"/>
                <w:color w:val="auto"/>
                <w:kern w:val="0"/>
                <w:sz w:val="24"/>
                <w:szCs w:val="24"/>
                <w:highlight w:val="none"/>
                <w:lang w:val="en-US" w:eastAsia="zh-CN" w:bidi="ar-SA"/>
              </w:rPr>
              <w:t xml:space="preserve"> 5&lt;</w:t>
            </w:r>
            <w:r>
              <w:rPr>
                <w:rFonts w:hint="eastAsia" w:ascii="仿宋_GB2312" w:hAnsi="仿宋_GB2312" w:eastAsia="仿宋_GB2312" w:cs="仿宋_GB2312"/>
                <w:color w:val="auto"/>
                <w:kern w:val="0"/>
                <w:sz w:val="24"/>
                <w:szCs w:val="24"/>
                <w:highlight w:val="none"/>
                <w:lang w:val="en-GB" w:eastAsia="zh-CN" w:bidi="ar-SA"/>
              </w:rPr>
              <w:t>问题数≤1</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 xml:space="preserve">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良</w:t>
            </w:r>
          </w:p>
          <w:p w14:paraId="134B5166">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3.</w:t>
            </w:r>
            <w:r>
              <w:rPr>
                <w:rFonts w:hint="eastAsia" w:ascii="仿宋_GB2312" w:hAnsi="仿宋_GB2312" w:eastAsia="仿宋_GB2312" w:cs="仿宋_GB2312"/>
                <w:color w:val="auto"/>
                <w:kern w:val="0"/>
                <w:sz w:val="24"/>
                <w:szCs w:val="24"/>
                <w:highlight w:val="none"/>
                <w:lang w:val="en-US" w:eastAsia="zh-CN" w:bidi="ar-SA"/>
              </w:rPr>
              <w:t xml:space="preserve"> 15&lt;</w:t>
            </w:r>
            <w:r>
              <w:rPr>
                <w:rFonts w:hint="eastAsia" w:ascii="仿宋_GB2312" w:hAnsi="仿宋_GB2312" w:eastAsia="仿宋_GB2312" w:cs="仿宋_GB2312"/>
                <w:color w:val="auto"/>
                <w:kern w:val="0"/>
                <w:sz w:val="24"/>
                <w:szCs w:val="24"/>
                <w:highlight w:val="none"/>
                <w:lang w:val="en-GB" w:eastAsia="zh-CN" w:bidi="ar-SA"/>
              </w:rPr>
              <w:t>问题数≤</w:t>
            </w:r>
            <w:r>
              <w:rPr>
                <w:rFonts w:hint="eastAsia" w:ascii="仿宋_GB2312" w:hAnsi="仿宋_GB2312" w:eastAsia="仿宋_GB2312" w:cs="仿宋_GB2312"/>
                <w:color w:val="auto"/>
                <w:kern w:val="0"/>
                <w:sz w:val="24"/>
                <w:szCs w:val="24"/>
                <w:highlight w:val="none"/>
                <w:lang w:val="en-US" w:eastAsia="zh-CN" w:bidi="ar-SA"/>
              </w:rPr>
              <w:t>30</w:t>
            </w:r>
            <w:r>
              <w:rPr>
                <w:rFonts w:hint="eastAsia" w:ascii="仿宋_GB2312" w:hAnsi="仿宋_GB2312" w:eastAsia="仿宋_GB2312" w:cs="仿宋_GB2312"/>
                <w:color w:val="auto"/>
                <w:kern w:val="0"/>
                <w:sz w:val="24"/>
                <w:szCs w:val="24"/>
                <w:highlight w:val="none"/>
                <w:lang w:val="en-GB" w:eastAsia="zh-CN" w:bidi="ar-SA"/>
              </w:rPr>
              <w:t xml:space="preserve"> 中</w:t>
            </w:r>
          </w:p>
          <w:p w14:paraId="7340DFF2">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GB" w:eastAsia="zh-CN" w:bidi="ar-SA"/>
              </w:rPr>
            </w:pPr>
            <w:r>
              <w:rPr>
                <w:rFonts w:hint="eastAsia" w:ascii="仿宋_GB2312" w:hAnsi="仿宋_GB2312" w:eastAsia="仿宋_GB2312" w:cs="仿宋_GB2312"/>
                <w:color w:val="auto"/>
                <w:kern w:val="0"/>
                <w:sz w:val="24"/>
                <w:szCs w:val="24"/>
                <w:highlight w:val="none"/>
                <w:lang w:val="en-GB" w:eastAsia="zh-CN" w:bidi="ar-SA"/>
              </w:rPr>
              <w:t>4.</w:t>
            </w:r>
            <w:r>
              <w:rPr>
                <w:rFonts w:hint="eastAsia" w:ascii="仿宋_GB2312" w:hAnsi="仿宋_GB2312" w:eastAsia="仿宋_GB2312" w:cs="仿宋_GB2312"/>
                <w:color w:val="auto"/>
                <w:kern w:val="0"/>
                <w:sz w:val="24"/>
                <w:szCs w:val="24"/>
                <w:highlight w:val="none"/>
                <w:lang w:val="en-US" w:eastAsia="zh-CN" w:bidi="ar-SA"/>
              </w:rPr>
              <w:t xml:space="preserve"> 30&lt;</w:t>
            </w:r>
            <w:r>
              <w:rPr>
                <w:rFonts w:hint="eastAsia" w:ascii="仿宋_GB2312" w:hAnsi="仿宋_GB2312" w:eastAsia="仿宋_GB2312" w:cs="仿宋_GB2312"/>
                <w:color w:val="auto"/>
                <w:kern w:val="0"/>
                <w:sz w:val="24"/>
                <w:szCs w:val="24"/>
                <w:highlight w:val="none"/>
                <w:lang w:val="en-GB" w:eastAsia="zh-CN" w:bidi="ar-SA"/>
              </w:rPr>
              <w:t xml:space="preserve">问题数  </w:t>
            </w:r>
            <w:r>
              <w:rPr>
                <w:rFonts w:hint="eastAsia" w:ascii="仿宋_GB2312" w:hAnsi="仿宋_GB2312" w:eastAsia="仿宋_GB2312" w:cs="仿宋_GB2312"/>
                <w:color w:val="auto"/>
                <w:kern w:val="0"/>
                <w:sz w:val="24"/>
                <w:szCs w:val="24"/>
                <w:highlight w:val="none"/>
                <w:lang w:val="en-US" w:eastAsia="zh-CN" w:bidi="ar-SA"/>
              </w:rPr>
              <w:t xml:space="preserve">   </w:t>
            </w:r>
            <w:r>
              <w:rPr>
                <w:rFonts w:hint="eastAsia" w:ascii="仿宋_GB2312" w:hAnsi="仿宋_GB2312" w:eastAsia="仿宋_GB2312" w:cs="仿宋_GB2312"/>
                <w:color w:val="auto"/>
                <w:kern w:val="0"/>
                <w:sz w:val="24"/>
                <w:szCs w:val="24"/>
                <w:highlight w:val="none"/>
                <w:lang w:val="en-GB" w:eastAsia="zh-CN" w:bidi="ar-SA"/>
              </w:rPr>
              <w:t>差</w:t>
            </w:r>
          </w:p>
        </w:tc>
        <w:tc>
          <w:tcPr>
            <w:tcW w:w="274" w:type="pct"/>
            <w:vAlign w:val="center"/>
          </w:tcPr>
          <w:p w14:paraId="6941EE4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color w:val="auto"/>
                <w:kern w:val="0"/>
                <w:sz w:val="24"/>
                <w:szCs w:val="24"/>
                <w:highlight w:val="none"/>
                <w:lang w:val="de-DE" w:eastAsia="zh-CN" w:bidi="ar-SA"/>
              </w:rPr>
            </w:pPr>
            <w:r>
              <w:rPr>
                <w:rFonts w:hint="eastAsia" w:ascii="仿宋_GB2312" w:hAnsi="仿宋_GB2312" w:eastAsia="仿宋_GB2312" w:cs="仿宋_GB2312"/>
                <w:color w:val="auto"/>
                <w:kern w:val="0"/>
                <w:sz w:val="24"/>
                <w:szCs w:val="24"/>
                <w:highlight w:val="none"/>
                <w:lang w:val="en-US" w:eastAsia="zh-CN" w:bidi="ar-SA"/>
              </w:rPr>
              <w:t>3</w:t>
            </w:r>
            <w:r>
              <w:rPr>
                <w:rFonts w:hint="eastAsia" w:ascii="仿宋_GB2312" w:hAnsi="仿宋_GB2312" w:eastAsia="仿宋_GB2312" w:cs="仿宋_GB2312"/>
                <w:color w:val="auto"/>
                <w:kern w:val="0"/>
                <w:sz w:val="24"/>
                <w:szCs w:val="24"/>
                <w:highlight w:val="none"/>
                <w:lang w:val="de-DE" w:eastAsia="zh-CN" w:bidi="ar-SA"/>
              </w:rPr>
              <w:t>0%</w:t>
            </w:r>
          </w:p>
        </w:tc>
      </w:tr>
      <w:tr w14:paraId="5F24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0" w:type="pct"/>
            <w:vAlign w:val="center"/>
          </w:tcPr>
          <w:p w14:paraId="7C71167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w:t>
            </w:r>
          </w:p>
        </w:tc>
        <w:tc>
          <w:tcPr>
            <w:tcW w:w="592" w:type="pct"/>
            <w:vAlign w:val="center"/>
          </w:tcPr>
          <w:p w14:paraId="032F7C50">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工单未及时处理率</w:t>
            </w:r>
          </w:p>
        </w:tc>
        <w:tc>
          <w:tcPr>
            <w:tcW w:w="862" w:type="pct"/>
            <w:vAlign w:val="center"/>
          </w:tcPr>
          <w:p w14:paraId="3331AF91">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工单处理时长超一个月工单数量/总工单数量</w:t>
            </w:r>
          </w:p>
        </w:tc>
        <w:tc>
          <w:tcPr>
            <w:tcW w:w="768" w:type="pct"/>
            <w:vAlign w:val="center"/>
          </w:tcPr>
          <w:p w14:paraId="4EBF25AB">
            <w:pPr>
              <w:keepNext w:val="0"/>
              <w:keepLines w:val="0"/>
              <w:pageBreakBefore w:val="0"/>
              <w:widowControl/>
              <w:kinsoku/>
              <w:wordWrap/>
              <w:overflowPunct/>
              <w:topLinePunct w:val="0"/>
              <w:autoSpaceDE/>
              <w:autoSpaceDN/>
              <w:bidi w:val="0"/>
              <w:adjustRightInd/>
              <w:snapToGrid w:val="0"/>
              <w:spacing w:line="240" w:lineRule="auto"/>
              <w:ind w:firstLine="0" w:firstLineChars="0"/>
              <w:jc w:val="both"/>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本系统所有工单纳入统计。</w:t>
            </w:r>
          </w:p>
        </w:tc>
        <w:tc>
          <w:tcPr>
            <w:tcW w:w="2282" w:type="pct"/>
            <w:vAlign w:val="center"/>
          </w:tcPr>
          <w:p w14:paraId="5CC12CB9">
            <w:pPr>
              <w:keepNext w:val="0"/>
              <w:keepLines w:val="0"/>
              <w:pageBreakBefore w:val="0"/>
              <w:widowControl/>
              <w:numPr>
                <w:ilvl w:val="-1"/>
                <w:numId w:val="0"/>
              </w:numPr>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1. 工单未及时处理率</w:t>
            </w:r>
            <w:r>
              <w:rPr>
                <w:rFonts w:hint="eastAsia" w:ascii="仿宋_GB2312" w:hAnsi="仿宋_GB2312" w:eastAsia="仿宋_GB2312" w:cs="仿宋_GB2312"/>
                <w:color w:val="auto"/>
                <w:kern w:val="0"/>
                <w:sz w:val="24"/>
                <w:szCs w:val="24"/>
                <w:highlight w:val="none"/>
                <w:lang w:val="en-GB" w:eastAsia="zh-CN" w:bidi="ar-SA"/>
              </w:rPr>
              <w:t>≤0%</w:t>
            </w:r>
            <w:r>
              <w:rPr>
                <w:rFonts w:hint="eastAsia" w:ascii="仿宋_GB2312" w:hAnsi="仿宋_GB2312" w:eastAsia="仿宋_GB2312" w:cs="仿宋_GB2312"/>
                <w:color w:val="auto"/>
                <w:kern w:val="0"/>
                <w:sz w:val="24"/>
                <w:szCs w:val="24"/>
                <w:highlight w:val="none"/>
                <w:lang w:val="en-US" w:eastAsia="zh-CN" w:bidi="ar-SA"/>
              </w:rPr>
              <w:t xml:space="preserve">     优</w:t>
            </w:r>
          </w:p>
          <w:p w14:paraId="5A9BA9EF">
            <w:pPr>
              <w:keepNext w:val="0"/>
              <w:keepLines w:val="0"/>
              <w:pageBreakBefore w:val="0"/>
              <w:widowControl/>
              <w:numPr>
                <w:ilvl w:val="-1"/>
                <w:numId w:val="0"/>
              </w:numPr>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 0%&lt;工单未及时处理率</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5</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 xml:space="preserve">  良</w:t>
            </w:r>
          </w:p>
          <w:p w14:paraId="503FA269">
            <w:pPr>
              <w:keepNext w:val="0"/>
              <w:keepLines w:val="0"/>
              <w:pageBreakBefore w:val="0"/>
              <w:widowControl/>
              <w:numPr>
                <w:ilvl w:val="-1"/>
                <w:numId w:val="0"/>
              </w:numPr>
              <w:kinsoku/>
              <w:wordWrap/>
              <w:overflowPunct/>
              <w:topLinePunct w:val="0"/>
              <w:autoSpaceDE/>
              <w:autoSpaceDN/>
              <w:bidi w:val="0"/>
              <w:adjustRightInd/>
              <w:snapToGrid w:val="0"/>
              <w:spacing w:line="240" w:lineRule="auto"/>
              <w:ind w:firstLine="0" w:firstLineChars="0"/>
              <w:jc w:val="both"/>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3. 5%&lt;工单未及时处理率</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15</w:t>
            </w:r>
            <w:r>
              <w:rPr>
                <w:rFonts w:hint="eastAsia" w:ascii="仿宋_GB2312" w:hAnsi="仿宋_GB2312" w:eastAsia="仿宋_GB2312" w:cs="仿宋_GB2312"/>
                <w:color w:val="auto"/>
                <w:kern w:val="0"/>
                <w:sz w:val="24"/>
                <w:szCs w:val="24"/>
                <w:highlight w:val="none"/>
                <w:lang w:val="en-GB" w:eastAsia="zh-CN" w:bidi="ar-SA"/>
              </w:rPr>
              <w:t>%</w:t>
            </w:r>
            <w:r>
              <w:rPr>
                <w:rFonts w:hint="eastAsia" w:ascii="仿宋_GB2312" w:hAnsi="仿宋_GB2312" w:eastAsia="仿宋_GB2312" w:cs="仿宋_GB2312"/>
                <w:color w:val="auto"/>
                <w:kern w:val="0"/>
                <w:sz w:val="24"/>
                <w:szCs w:val="24"/>
                <w:highlight w:val="none"/>
                <w:lang w:val="en-US" w:eastAsia="zh-CN" w:bidi="ar-SA"/>
              </w:rPr>
              <w:t xml:space="preserve"> 中</w:t>
            </w:r>
          </w:p>
          <w:p w14:paraId="057AC9AF">
            <w:pPr>
              <w:keepNext w:val="0"/>
              <w:keepLines w:val="0"/>
              <w:pageBreakBefore w:val="0"/>
              <w:widowControl/>
              <w:numPr>
                <w:ilvl w:val="-1"/>
                <w:numId w:val="0"/>
              </w:numPr>
              <w:kinsoku/>
              <w:wordWrap/>
              <w:overflowPunct/>
              <w:topLinePunct w:val="0"/>
              <w:autoSpaceDE/>
              <w:autoSpaceDN/>
              <w:bidi w:val="0"/>
              <w:adjustRightInd/>
              <w:snapToGrid w:val="0"/>
              <w:spacing w:line="240" w:lineRule="auto"/>
              <w:ind w:firstLine="0" w:firstLineChars="0"/>
              <w:jc w:val="both"/>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4. 15%&lt;工单未及时处理率     差</w:t>
            </w:r>
          </w:p>
        </w:tc>
        <w:tc>
          <w:tcPr>
            <w:tcW w:w="274" w:type="pct"/>
            <w:vAlign w:val="center"/>
          </w:tcPr>
          <w:p w14:paraId="63EC42F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20%</w:t>
            </w:r>
          </w:p>
        </w:tc>
      </w:tr>
      <w:tr w14:paraId="64E9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 w:type="pct"/>
            <w:vAlign w:val="center"/>
          </w:tcPr>
          <w:p w14:paraId="5ED30C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4</w:t>
            </w:r>
          </w:p>
        </w:tc>
        <w:tc>
          <w:tcPr>
            <w:tcW w:w="592" w:type="pct"/>
            <w:vAlign w:val="center"/>
          </w:tcPr>
          <w:p w14:paraId="7FA5A60A">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人员稳定性</w:t>
            </w:r>
          </w:p>
        </w:tc>
        <w:tc>
          <w:tcPr>
            <w:tcW w:w="862" w:type="pct"/>
            <w:vAlign w:val="center"/>
          </w:tcPr>
          <w:p w14:paraId="560D2B62">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人员异动比率=异动（更换、退出、辞退）人数/驻场总人数</w:t>
            </w:r>
          </w:p>
        </w:tc>
        <w:tc>
          <w:tcPr>
            <w:tcW w:w="768" w:type="pct"/>
            <w:vAlign w:val="center"/>
          </w:tcPr>
          <w:p w14:paraId="609F0E37">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default"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项目实施过程中人员变更数量纳入统计</w:t>
            </w:r>
          </w:p>
        </w:tc>
        <w:tc>
          <w:tcPr>
            <w:tcW w:w="2282" w:type="pct"/>
            <w:vAlign w:val="center"/>
          </w:tcPr>
          <w:p w14:paraId="70FEEB8E">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1、人员异动比率≤5%，且替代人员资质不低于异动人员        优</w:t>
            </w:r>
            <w:r>
              <w:rPr>
                <w:rFonts w:hint="eastAsia" w:ascii="仿宋_GB2312" w:hAnsi="仿宋_GB2312" w:eastAsia="仿宋_GB2312" w:cs="仿宋_GB2312"/>
                <w:i w:val="0"/>
                <w:iCs w:val="0"/>
                <w:color w:val="auto"/>
                <w:kern w:val="0"/>
                <w:sz w:val="24"/>
                <w:szCs w:val="24"/>
                <w:highlight w:val="none"/>
                <w:u w:val="none"/>
                <w:lang w:val="en-US" w:eastAsia="zh-CN" w:bidi="ar-SA"/>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SA"/>
              </w:rPr>
              <w:t>2、5%＜人员异动比率≤10%，且替代人员资质不低于异动人员   良</w:t>
            </w:r>
            <w:r>
              <w:rPr>
                <w:rFonts w:hint="eastAsia" w:ascii="仿宋_GB2312" w:hAnsi="仿宋_GB2312" w:eastAsia="仿宋_GB2312" w:cs="仿宋_GB2312"/>
                <w:i w:val="0"/>
                <w:iCs w:val="0"/>
                <w:color w:val="auto"/>
                <w:kern w:val="0"/>
                <w:sz w:val="24"/>
                <w:szCs w:val="24"/>
                <w:highlight w:val="none"/>
                <w:u w:val="none"/>
                <w:lang w:val="en-US" w:eastAsia="zh-CN" w:bidi="ar-SA"/>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SA"/>
              </w:rPr>
              <w:t>3、10%＜人员异动比率≤20%，且替代人员资质不低于异动人员  中</w:t>
            </w:r>
            <w:r>
              <w:rPr>
                <w:rFonts w:hint="eastAsia" w:ascii="仿宋_GB2312" w:hAnsi="仿宋_GB2312" w:eastAsia="仿宋_GB2312" w:cs="仿宋_GB2312"/>
                <w:i w:val="0"/>
                <w:iCs w:val="0"/>
                <w:color w:val="auto"/>
                <w:kern w:val="0"/>
                <w:sz w:val="24"/>
                <w:szCs w:val="24"/>
                <w:highlight w:val="none"/>
                <w:u w:val="none"/>
                <w:lang w:val="en-US" w:eastAsia="zh-CN" w:bidi="ar-SA"/>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SA"/>
              </w:rPr>
              <w:t>4、20%＜人员异动比率，或替代人员资质低于异动人员         差</w:t>
            </w:r>
          </w:p>
        </w:tc>
        <w:tc>
          <w:tcPr>
            <w:tcW w:w="274" w:type="pct"/>
            <w:vAlign w:val="center"/>
          </w:tcPr>
          <w:p w14:paraId="501D85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仿宋_GB2312" w:hAnsi="仿宋_GB2312" w:eastAsia="仿宋_GB2312" w:cs="仿宋_GB2312"/>
                <w:i w:val="0"/>
                <w:iCs w:val="0"/>
                <w:color w:val="auto"/>
                <w:kern w:val="0"/>
                <w:sz w:val="24"/>
                <w:szCs w:val="24"/>
                <w:highlight w:val="none"/>
                <w:u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SA"/>
              </w:rPr>
              <w:t>10%</w:t>
            </w:r>
          </w:p>
        </w:tc>
      </w:tr>
    </w:tbl>
    <w:p w14:paraId="3B5F8E5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（2）考核时点。</w:t>
      </w:r>
    </w:p>
    <w:p w14:paraId="6815335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本项目发起验收时，进行SLA考核。</w:t>
      </w:r>
    </w:p>
    <w:p w14:paraId="1ACBF1B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（3）SLA等级。</w:t>
      </w:r>
    </w:p>
    <w:p w14:paraId="2B8C1E9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根据SLA最后得分情况，划分为四个等级： </w:t>
      </w:r>
    </w:p>
    <w:p w14:paraId="64120FB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SLA&gt;=95的为优；</w:t>
      </w:r>
    </w:p>
    <w:p w14:paraId="45D42EC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SLA在80-95的为良；</w:t>
      </w:r>
    </w:p>
    <w:p w14:paraId="2EF8FA9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SLA在60-80的为中；</w:t>
      </w:r>
    </w:p>
    <w:p w14:paraId="31FAA45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SLA&lt;60的为差。</w:t>
      </w:r>
    </w:p>
    <w:p w14:paraId="3C61B5C6">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ascii="Times New Roman" w:hAnsi="黑体" w:eastAsia="黑体" w:cs="Times New Roman"/>
          <w:b w:val="0"/>
          <w:bCs w:val="0"/>
          <w:color w:val="auto"/>
          <w:kern w:val="2"/>
          <w:sz w:val="24"/>
          <w:szCs w:val="24"/>
          <w:highlight w:val="none"/>
          <w:lang w:val="en-US" w:eastAsia="zh-CN" w:bidi="ar-SA"/>
        </w:rPr>
      </w:pPr>
      <w:bookmarkStart w:id="61" w:name="_Toc21913"/>
      <w:bookmarkStart w:id="62" w:name="_Toc17263"/>
      <w:bookmarkStart w:id="63" w:name="_Toc32224"/>
      <w:bookmarkStart w:id="64" w:name="_Toc25355"/>
      <w:r>
        <w:rPr>
          <w:rFonts w:hint="eastAsia" w:ascii="Times New Roman" w:hAnsi="黑体" w:eastAsia="黑体" w:cs="Times New Roman"/>
          <w:b w:val="0"/>
          <w:bCs w:val="0"/>
          <w:color w:val="auto"/>
          <w:kern w:val="2"/>
          <w:sz w:val="24"/>
          <w:szCs w:val="24"/>
          <w:highlight w:val="none"/>
          <w:lang w:val="en-US" w:eastAsia="zh-CN" w:bidi="ar-SA"/>
        </w:rPr>
        <w:t>违约责任</w:t>
      </w:r>
      <w:bookmarkEnd w:id="61"/>
      <w:bookmarkEnd w:id="62"/>
      <w:bookmarkEnd w:id="63"/>
      <w:bookmarkEnd w:id="64"/>
    </w:p>
    <w:p w14:paraId="2510B87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（一）供应商在合同签署后，需要在6个月内完成投产上线。如因供应商原因导致未能按期投产上线，将按照每逾期一（1）周（不足一周的按比例计算），扣除“合同价款”的千分之五（5‰），上限百分之三十。</w:t>
      </w:r>
    </w:p>
    <w:p w14:paraId="4BBEE1A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（二）SLA考核的罚则。</w:t>
      </w:r>
    </w:p>
    <w:p w14:paraId="123114C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1.SLA考核为良：约谈公司高管，提出服务质量保障具体措施并限期落实；</w:t>
      </w:r>
    </w:p>
    <w:p w14:paraId="415C4CB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2.SLA考核为中：约谈公司高管，提出服务质量保障具体措施并限期落实，从本次付款起每期付款顺次延迟半年支付，如有多次延迟的，延迟期限叠加。</w:t>
      </w:r>
    </w:p>
    <w:p w14:paraId="04D9D95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3.SLA 考核为差：约谈公司高管，提出服务质量保障具体措施并限期落实，暂停本次及以后各期款项支付，直至下次考核时服务质量达到中级以上，接续按以上标准执行。如已是最后一次验收，则扣除“合同价款”的百分之五（5%）。</w:t>
      </w:r>
    </w:p>
    <w:bookmarkEnd w:id="59"/>
    <w:bookmarkEnd w:id="60"/>
    <w:p w14:paraId="1D978896">
      <w:pPr>
        <w:keepNext/>
        <w:keepLines/>
        <w:pageBreakBefore w:val="0"/>
        <w:widowControl w:val="0"/>
        <w:numPr>
          <w:ilvl w:val="0"/>
          <w:numId w:val="1"/>
        </w:numPr>
        <w:kinsoku/>
        <w:overflowPunct/>
        <w:topLinePunct w:val="0"/>
        <w:autoSpaceDE/>
        <w:autoSpaceDN/>
        <w:bidi w:val="0"/>
        <w:adjustRightInd w:val="0"/>
        <w:snapToGrid/>
        <w:spacing w:before="0" w:beforeLines="0" w:after="0" w:afterLines="0" w:line="560" w:lineRule="exact"/>
        <w:ind w:left="0" w:leftChars="0" w:firstLine="480" w:firstLineChars="200"/>
        <w:jc w:val="both"/>
        <w:textAlignment w:val="baseline"/>
        <w:outlineLvl w:val="0"/>
        <w:rPr>
          <w:rFonts w:hint="eastAsia" w:ascii="Times New Roman" w:hAnsi="黑体" w:eastAsia="黑体" w:cs="Times New Roman"/>
          <w:b w:val="0"/>
          <w:bCs w:val="0"/>
          <w:color w:val="auto"/>
          <w:kern w:val="2"/>
          <w:sz w:val="24"/>
          <w:szCs w:val="24"/>
          <w:highlight w:val="none"/>
          <w:lang w:val="en-US" w:eastAsia="zh-CN" w:bidi="ar-SA"/>
        </w:rPr>
      </w:pPr>
      <w:bookmarkStart w:id="65" w:name="_Toc457811498"/>
      <w:bookmarkStart w:id="66" w:name="_Toc20483"/>
      <w:bookmarkStart w:id="67" w:name="_Toc3738"/>
      <w:bookmarkStart w:id="68" w:name="_Toc16941"/>
      <w:bookmarkStart w:id="69" w:name="_Toc6071"/>
      <w:bookmarkStart w:id="70" w:name="_Toc8327"/>
      <w:bookmarkStart w:id="71" w:name="_Toc23550"/>
      <w:r>
        <w:rPr>
          <w:rFonts w:hint="eastAsia" w:ascii="Times New Roman" w:hAnsi="黑体" w:eastAsia="黑体" w:cs="Times New Roman"/>
          <w:b w:val="0"/>
          <w:bCs w:val="0"/>
          <w:color w:val="auto"/>
          <w:kern w:val="2"/>
          <w:sz w:val="24"/>
          <w:szCs w:val="24"/>
          <w:highlight w:val="none"/>
          <w:lang w:val="en-US" w:eastAsia="zh-CN" w:bidi="ar-SA"/>
        </w:rPr>
        <w:t>合同条款</w:t>
      </w:r>
      <w:bookmarkEnd w:id="65"/>
      <w:bookmarkEnd w:id="66"/>
      <w:bookmarkEnd w:id="67"/>
      <w:bookmarkEnd w:id="68"/>
      <w:bookmarkEnd w:id="69"/>
      <w:bookmarkEnd w:id="70"/>
      <w:bookmarkEnd w:id="71"/>
    </w:p>
    <w:p w14:paraId="68A001B0">
      <w:pPr>
        <w:keepNext/>
        <w:keepLines/>
        <w:wordWrap w:val="0"/>
        <w:adjustRightInd w:val="0"/>
        <w:spacing w:line="560" w:lineRule="exact"/>
        <w:ind w:firstLine="480" w:firstLineChars="200"/>
        <w:jc w:val="both"/>
        <w:textAlignment w:val="baseline"/>
        <w:outlineLvl w:val="0"/>
        <w:rPr>
          <w:rFonts w:ascii="仿宋" w:hAnsi="仿宋" w:eastAsia="仿宋" w:cs="Times New Roman"/>
          <w:b/>
          <w:color w:val="auto"/>
          <w:kern w:val="44"/>
          <w:sz w:val="28"/>
          <w:szCs w:val="28"/>
          <w:highlight w:val="none"/>
          <w:u w:val="single"/>
        </w:rPr>
      </w:pPr>
      <w:r>
        <w:rPr>
          <w:rFonts w:hint="eastAsia" w:ascii="仿宋_GB2312" w:hAnsi="仿宋_GB2312" w:eastAsia="仿宋_GB2312" w:cs="仿宋_GB2312"/>
          <w:color w:val="auto"/>
          <w:sz w:val="24"/>
          <w:szCs w:val="24"/>
          <w:highlight w:val="none"/>
        </w:rPr>
        <w:t>合同模板及保密协议均采用</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制式文本。</w:t>
      </w:r>
    </w:p>
    <w:p w14:paraId="57B1F4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07EA3"/>
    <w:multiLevelType w:val="singleLevel"/>
    <w:tmpl w:val="CEC07EA3"/>
    <w:lvl w:ilvl="0" w:tentative="0">
      <w:start w:val="1"/>
      <w:numFmt w:val="chineseCounting"/>
      <w:suff w:val="nothing"/>
      <w:lvlText w:val="%1、"/>
      <w:lvlJc w:val="left"/>
      <w:pPr>
        <w:tabs>
          <w:tab w:val="left" w:pos="0"/>
        </w:tabs>
      </w:pPr>
      <w:rPr>
        <w:rFonts w:hint="eastAsia" w:ascii="黑体" w:hAnsi="黑体" w:eastAsia="黑体" w:cs="黑体"/>
        <w:sz w:val="24"/>
        <w:szCs w:val="24"/>
      </w:rPr>
    </w:lvl>
  </w:abstractNum>
  <w:abstractNum w:abstractNumId="1">
    <w:nsid w:val="15E32A8D"/>
    <w:multiLevelType w:val="singleLevel"/>
    <w:tmpl w:val="15E32A8D"/>
    <w:lvl w:ilvl="0" w:tentative="0">
      <w:start w:val="1"/>
      <w:numFmt w:val="decimal"/>
      <w:suff w:val="space"/>
      <w:lvlText w:val="%1."/>
      <w:lvlJc w:val="left"/>
    </w:lvl>
  </w:abstractNum>
  <w:abstractNum w:abstractNumId="2">
    <w:nsid w:val="6A9EFD4D"/>
    <w:multiLevelType w:val="singleLevel"/>
    <w:tmpl w:val="6A9EFD4D"/>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0E09D8"/>
    <w:rsid w:val="056D77F4"/>
    <w:rsid w:val="3E9B6EC4"/>
    <w:rsid w:val="570E09D8"/>
    <w:rsid w:val="6CA41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样式2"/>
    <w:basedOn w:val="1"/>
    <w:link w:val="6"/>
    <w:qFormat/>
    <w:uiPriority w:val="0"/>
    <w:pPr>
      <w:spacing w:line="300" w:lineRule="auto"/>
      <w:jc w:val="center"/>
      <w:outlineLvl w:val="0"/>
    </w:pPr>
    <w:rPr>
      <w:rFonts w:ascii="Times New Roman" w:hAnsi="Times New Roman" w:eastAsia="宋体"/>
      <w:sz w:val="24"/>
    </w:rPr>
  </w:style>
  <w:style w:type="character" w:customStyle="1" w:styleId="6">
    <w:name w:val="样式2 Char"/>
    <w:link w:val="5"/>
    <w:uiPriority w:val="0"/>
    <w:rPr>
      <w:rFonts w:ascii="Times New Roman" w:hAnsi="Times New Roman" w:eastAsia="宋体"/>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2026-07-14T06:28:00Z</dcterms:created>
  <dc:creator>YLShi</dc:creator>
  <cp:lastModifiedBy>YLShi</cp:lastModifiedBy>
  <dcterms:modified xsi:type="dcterms:W3CDTF">2026-07-14T06:41:45Z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FA2DCA96FB4E448FA79639D336ED0E25_11</vt:lpwstr>
  </property>
  <property fmtid="{D5CDD505-2E9C-101B-9397-08002B2CF9AE}" pid="4" name="KSOTemplateDocerSaveRecord">
    <vt:lpwstr>eyJoZGlkIjoiN2JlZWJiMWFhZTA2OTk3ZjczOTA3YjIyYTJmZjg4OGIiLCJ1c2VySWQiOiI2MjkyMzE5NzcifQ==</vt:lpwstr>
  </property>
</Properties>
</file>