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C8E33">
      <w:pPr>
        <w:pageBreakBefore w:val="0"/>
        <w:widowControl w:val="0"/>
        <w:kinsoku/>
        <w:wordWrap/>
        <w:overflowPunct/>
        <w:topLinePunct w:val="0"/>
        <w:autoSpaceDE/>
        <w:autoSpaceDN/>
        <w:bidi w:val="0"/>
        <w:adjustRightInd w:val="0"/>
        <w:snapToGrid/>
        <w:spacing w:line="360" w:lineRule="auto"/>
        <w:jc w:val="both"/>
        <w:textAlignment w:val="baseline"/>
        <w:rPr>
          <w:rFonts w:hint="eastAsia" w:ascii="黑体" w:hAnsi="黑体" w:eastAsia="黑体" w:cs="黑体"/>
          <w:color w:val="auto"/>
        </w:rPr>
      </w:pPr>
      <w:bookmarkStart w:id="25" w:name="_GoBack"/>
      <w:bookmarkEnd w:id="25"/>
      <w:r>
        <w:rPr>
          <w:rFonts w:hint="eastAsia" w:ascii="黑体" w:hAnsi="黑体" w:eastAsia="黑体" w:cs="黑体"/>
          <w:color w:val="auto"/>
        </w:rPr>
        <w:t>附件：项目需求</w:t>
      </w:r>
    </w:p>
    <w:p w14:paraId="07A68910">
      <w:pPr>
        <w:keepNext/>
        <w:keepLines/>
        <w:pageBreakBefore w:val="0"/>
        <w:widowControl w:val="0"/>
        <w:kinsoku/>
        <w:wordWrap/>
        <w:overflowPunct/>
        <w:topLinePunct w:val="0"/>
        <w:autoSpaceDE/>
        <w:autoSpaceDN/>
        <w:bidi w:val="0"/>
        <w:adjustRightInd w:val="0"/>
        <w:snapToGrid/>
        <w:spacing w:before="157" w:beforeLines="50" w:after="157" w:afterLines="50" w:line="360" w:lineRule="auto"/>
        <w:ind w:firstLine="480" w:firstLineChars="200"/>
        <w:jc w:val="both"/>
        <w:textAlignment w:val="baseline"/>
        <w:outlineLvl w:val="0"/>
        <w:rPr>
          <w:rFonts w:ascii="Times New Roman" w:hAnsi="Times New Roman" w:eastAsia="黑体" w:cs="Times New Roman"/>
          <w:b w:val="0"/>
          <w:bCs w:val="0"/>
          <w:color w:val="auto"/>
          <w:kern w:val="2"/>
          <w:sz w:val="24"/>
          <w:szCs w:val="24"/>
          <w:highlight w:val="none"/>
          <w:lang w:val="en-US" w:eastAsia="zh-CN" w:bidi="ar-SA"/>
        </w:rPr>
      </w:pPr>
      <w:bookmarkStart w:id="0" w:name="_Toc13475"/>
      <w:bookmarkStart w:id="1" w:name="_Toc1826"/>
      <w:bookmarkStart w:id="2" w:name="_Toc11491"/>
      <w:r>
        <w:rPr>
          <w:rFonts w:ascii="Times New Roman" w:hAnsi="黑体" w:eastAsia="黑体" w:cs="Times New Roman"/>
          <w:b w:val="0"/>
          <w:bCs w:val="0"/>
          <w:color w:val="auto"/>
          <w:kern w:val="2"/>
          <w:sz w:val="24"/>
          <w:szCs w:val="24"/>
          <w:highlight w:val="none"/>
          <w:lang w:val="en-US" w:eastAsia="zh-CN" w:bidi="ar-SA"/>
        </w:rPr>
        <w:t>一、</w:t>
      </w:r>
      <w:bookmarkEnd w:id="0"/>
      <w:r>
        <w:rPr>
          <w:rFonts w:ascii="Times New Roman" w:hAnsi="黑体" w:eastAsia="黑体" w:cs="Times New Roman"/>
          <w:b w:val="0"/>
          <w:bCs w:val="0"/>
          <w:color w:val="auto"/>
          <w:kern w:val="2"/>
          <w:sz w:val="24"/>
          <w:szCs w:val="24"/>
          <w:highlight w:val="none"/>
          <w:lang w:val="en-US" w:eastAsia="zh-CN" w:bidi="ar-SA"/>
        </w:rPr>
        <w:t>项目介绍</w:t>
      </w:r>
      <w:bookmarkEnd w:id="1"/>
      <w:bookmarkEnd w:id="2"/>
    </w:p>
    <w:p w14:paraId="05ECDCEF">
      <w:pPr>
        <w:keepNext/>
        <w:keepLines/>
        <w:pageBreakBefore w:val="0"/>
        <w:widowControl w:val="0"/>
        <w:kinsoku/>
        <w:wordWrap/>
        <w:overflowPunct/>
        <w:topLinePunct w:val="0"/>
        <w:autoSpaceDE/>
        <w:autoSpaceDN/>
        <w:bidi w:val="0"/>
        <w:adjustRightInd w:val="0"/>
        <w:snapToGrid/>
        <w:spacing w:before="0" w:beforeLines="0" w:after="0" w:afterLines="0" w:line="360" w:lineRule="auto"/>
        <w:ind w:firstLine="480" w:firstLineChars="200"/>
        <w:jc w:val="both"/>
        <w:textAlignment w:val="baseline"/>
        <w:outlineLvl w:val="1"/>
        <w:rPr>
          <w:rFonts w:hint="eastAsia" w:ascii="楷体_GB2312" w:hAnsi="楷体_GB2312" w:eastAsia="楷体_GB2312" w:cs="楷体_GB2312"/>
          <w:b w:val="0"/>
          <w:bCs w:val="0"/>
          <w:color w:val="auto"/>
          <w:kern w:val="2"/>
          <w:sz w:val="24"/>
          <w:szCs w:val="24"/>
          <w:highlight w:val="none"/>
          <w:lang w:val="en-US" w:eastAsia="zh-CN" w:bidi="ar-SA"/>
        </w:rPr>
      </w:pPr>
      <w:bookmarkStart w:id="3" w:name="_Toc20375"/>
      <w:bookmarkStart w:id="4" w:name="_Toc14418"/>
      <w:r>
        <w:rPr>
          <w:rFonts w:hint="eastAsia" w:ascii="楷体_GB2312" w:hAnsi="楷体_GB2312" w:eastAsia="楷体_GB2312" w:cs="楷体_GB2312"/>
          <w:b w:val="0"/>
          <w:bCs w:val="0"/>
          <w:color w:val="auto"/>
          <w:kern w:val="2"/>
          <w:sz w:val="24"/>
          <w:szCs w:val="24"/>
          <w:highlight w:val="none"/>
          <w:lang w:val="en-US" w:eastAsia="zh-CN" w:bidi="ar-SA"/>
        </w:rPr>
        <w:t>（一）项目背景概述</w:t>
      </w:r>
    </w:p>
    <w:p w14:paraId="1D86C435">
      <w:pPr>
        <w:widowControl w:val="0"/>
        <w:spacing w:line="360" w:lineRule="auto"/>
        <w:ind w:firstLine="480" w:firstLineChars="20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Cs/>
          <w:color w:val="auto"/>
          <w:kern w:val="2"/>
          <w:sz w:val="24"/>
          <w:szCs w:val="24"/>
          <w:highlight w:val="none"/>
          <w:lang w:val="en-US" w:eastAsia="zh-CN" w:bidi="ar-SA"/>
        </w:rPr>
        <w:t>为深入贯彻落实上级领导相关决策部署，拟建设全新的线上化普惠金融管理平台</w:t>
      </w:r>
      <w:r>
        <w:rPr>
          <w:rFonts w:hint="eastAsia" w:ascii="仿宋_GB2312" w:hAnsi="仿宋_GB2312" w:eastAsia="仿宋_GB2312" w:cs="仿宋_GB2312"/>
          <w:b w:val="0"/>
          <w:bCs/>
          <w:color w:val="auto"/>
          <w:kern w:val="2"/>
          <w:sz w:val="24"/>
          <w:szCs w:val="24"/>
          <w:highlight w:val="none"/>
          <w:lang w:val="en-US" w:eastAsia="zh-CN" w:bidi="ar-SA"/>
        </w:rPr>
        <w:t>（以下简称普惠系统），</w:t>
      </w:r>
      <w:r>
        <w:rPr>
          <w:rFonts w:hint="eastAsia" w:ascii="仿宋_GB2312" w:hAnsi="仿宋_GB2312" w:eastAsia="仿宋_GB2312" w:cs="仿宋_GB2312"/>
          <w:bCs/>
          <w:color w:val="auto"/>
          <w:kern w:val="2"/>
          <w:sz w:val="24"/>
          <w:szCs w:val="24"/>
          <w:highlight w:val="none"/>
          <w:lang w:val="en-US" w:eastAsia="zh-CN" w:bidi="ar-SA"/>
        </w:rPr>
        <w:t>普惠系统已完成立项正在采购。</w:t>
      </w:r>
    </w:p>
    <w:p w14:paraId="14F1D2AA">
      <w:pPr>
        <w:widowControl w:val="0"/>
        <w:spacing w:line="360" w:lineRule="auto"/>
        <w:ind w:firstLine="480" w:firstLineChars="20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普惠系统将深度复用采购人行内现有系统功能，实时调用授信管理，衔接反洗钱、定价及核心账务处理，整合统一客户视图等。为确保普惠系统与行内现有系统的顺利对接与业务协同，亟需对现有系统开展功能配套改造，确保全流程在线融资服务的统一调度与高效协同，为普惠金融业务的数字化转型提供坚实的技术底座。</w:t>
      </w:r>
    </w:p>
    <w:p w14:paraId="6E2710DA">
      <w:pPr>
        <w:widowControl w:val="0"/>
        <w:spacing w:line="360" w:lineRule="auto"/>
        <w:ind w:firstLine="480" w:firstLineChars="200"/>
        <w:jc w:val="left"/>
        <w:rPr>
          <w:rFonts w:hint="eastAsia" w:ascii="宋体" w:hAnsi="宋体" w:eastAsia="宋体" w:cs="Times New Roman"/>
          <w:b/>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按系统建设整体计划安排，配套改造须与普惠系统建设在2027年3月底前一并完成，整体完成采购人普惠金融业务系统建设项目。为做好普惠金融业务系统配套改造需求的实施工作，结合系统承接工作进展，信创改造工作安排等情况，在充分利用资源池人力的基础上，拟启动联合开发系统（普惠金融业务系统）配套改造需求实施项目。</w:t>
      </w:r>
    </w:p>
    <w:p w14:paraId="6285A6FD">
      <w:pPr>
        <w:keepNext/>
        <w:keepLines/>
        <w:pageBreakBefore w:val="0"/>
        <w:widowControl w:val="0"/>
        <w:numPr>
          <w:ilvl w:val="0"/>
          <w:numId w:val="1"/>
        </w:numPr>
        <w:kinsoku/>
        <w:wordWrap/>
        <w:overflowPunct/>
        <w:topLinePunct w:val="0"/>
        <w:autoSpaceDE/>
        <w:autoSpaceDN/>
        <w:bidi w:val="0"/>
        <w:adjustRightInd w:val="0"/>
        <w:snapToGrid/>
        <w:spacing w:before="0" w:beforeLines="0" w:after="0" w:afterLines="0" w:line="360" w:lineRule="auto"/>
        <w:ind w:firstLine="480" w:firstLineChars="200"/>
        <w:jc w:val="both"/>
        <w:textAlignment w:val="baseline"/>
        <w:outlineLvl w:val="1"/>
        <w:rPr>
          <w:rFonts w:hint="eastAsia" w:ascii="楷体_GB2312" w:hAnsi="楷体_GB2312" w:eastAsia="楷体_GB2312" w:cs="楷体_GB2312"/>
          <w:b w:val="0"/>
          <w:bCs w:val="0"/>
          <w:color w:val="auto"/>
          <w:kern w:val="2"/>
          <w:sz w:val="24"/>
          <w:szCs w:val="24"/>
          <w:highlight w:val="none"/>
          <w:lang w:val="en-US" w:eastAsia="zh-CN" w:bidi="ar-SA"/>
        </w:rPr>
      </w:pPr>
      <w:r>
        <w:rPr>
          <w:rFonts w:hint="eastAsia" w:ascii="楷体_GB2312" w:hAnsi="楷体_GB2312" w:eastAsia="楷体_GB2312" w:cs="楷体_GB2312"/>
          <w:b w:val="0"/>
          <w:bCs w:val="0"/>
          <w:color w:val="auto"/>
          <w:kern w:val="2"/>
          <w:sz w:val="24"/>
          <w:szCs w:val="24"/>
          <w:highlight w:val="none"/>
          <w:lang w:val="en-US" w:eastAsia="zh-CN" w:bidi="ar-SA"/>
        </w:rPr>
        <w:t>需求依据和来源</w:t>
      </w:r>
    </w:p>
    <w:p w14:paraId="09E1FB20">
      <w:pPr>
        <w:pageBreakBefore w:val="0"/>
        <w:widowControl w:val="0"/>
        <w:kinsoku/>
        <w:wordWrap/>
        <w:overflowPunct/>
        <w:topLinePunct w:val="0"/>
        <w:autoSpaceDE/>
        <w:autoSpaceDN/>
        <w:bidi w:val="0"/>
        <w:adjustRightInd w:val="0"/>
        <w:snapToGrid/>
        <w:spacing w:before="0" w:beforeLines="0" w:after="0" w:afterLines="0" w:line="360" w:lineRule="auto"/>
        <w:ind w:firstLine="480" w:firstLineChars="200"/>
        <w:jc w:val="left"/>
        <w:textAlignment w:val="baseline"/>
        <w:rPr>
          <w:rFonts w:hint="eastAsia" w:ascii="Times New Roman" w:hAnsi="Times New Roman" w:eastAsia="宋体" w:cs="Times New Roman"/>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为落实普惠金融业务系统建设，贸易金融部（普惠金融部）牵头编写《普惠线上产品系统配套改造需求书》，包含对行内现有系统开展功能配套改造的相关需求，涉及采购人内部多个部门相关功能配套改造。</w:t>
      </w:r>
    </w:p>
    <w:p w14:paraId="253057C2">
      <w:pPr>
        <w:keepNext/>
        <w:keepLines/>
        <w:pageBreakBefore w:val="0"/>
        <w:widowControl w:val="0"/>
        <w:numPr>
          <w:ilvl w:val="0"/>
          <w:numId w:val="1"/>
        </w:numPr>
        <w:kinsoku/>
        <w:wordWrap/>
        <w:overflowPunct/>
        <w:topLinePunct w:val="0"/>
        <w:autoSpaceDE/>
        <w:autoSpaceDN/>
        <w:bidi w:val="0"/>
        <w:adjustRightInd w:val="0"/>
        <w:snapToGrid/>
        <w:spacing w:before="0" w:beforeLines="0" w:after="0" w:afterLines="0" w:line="360" w:lineRule="auto"/>
        <w:ind w:firstLine="480" w:firstLineChars="200"/>
        <w:jc w:val="both"/>
        <w:textAlignment w:val="baseline"/>
        <w:outlineLvl w:val="1"/>
        <w:rPr>
          <w:rFonts w:hint="eastAsia" w:ascii="楷体_GB2312" w:hAnsi="楷体_GB2312" w:eastAsia="楷体_GB2312" w:cs="楷体_GB2312"/>
          <w:b w:val="0"/>
          <w:bCs w:val="0"/>
          <w:color w:val="auto"/>
          <w:kern w:val="2"/>
          <w:sz w:val="24"/>
          <w:szCs w:val="24"/>
          <w:highlight w:val="none"/>
          <w:lang w:val="en-US" w:eastAsia="zh-CN" w:bidi="ar-SA"/>
        </w:rPr>
      </w:pPr>
      <w:r>
        <w:rPr>
          <w:rFonts w:hint="eastAsia" w:ascii="楷体_GB2312" w:hAnsi="楷体_GB2312" w:eastAsia="楷体_GB2312" w:cs="楷体_GB2312"/>
          <w:b w:val="0"/>
          <w:bCs w:val="0"/>
          <w:color w:val="auto"/>
          <w:kern w:val="2"/>
          <w:sz w:val="24"/>
          <w:szCs w:val="24"/>
          <w:highlight w:val="none"/>
          <w:lang w:val="en-US" w:eastAsia="zh-CN" w:bidi="ar-SA"/>
        </w:rPr>
        <w:t>功能或目标</w:t>
      </w:r>
    </w:p>
    <w:bookmarkEnd w:id="3"/>
    <w:p w14:paraId="56ED9DB9">
      <w:pPr>
        <w:adjustRightInd w:val="0"/>
        <w:spacing w:line="360" w:lineRule="auto"/>
        <w:ind w:firstLine="480" w:firstLineChars="200"/>
        <w:jc w:val="left"/>
        <w:textAlignment w:val="baseline"/>
        <w:rPr>
          <w:rFonts w:hint="eastAsia" w:ascii="Times New Roman" w:hAnsi="Times New Roman" w:eastAsia="宋体" w:cs="Times New Roman"/>
          <w:color w:val="auto"/>
          <w:sz w:val="24"/>
          <w:szCs w:val="24"/>
          <w:highlight w:val="none"/>
        </w:rPr>
      </w:pPr>
      <w:r>
        <w:rPr>
          <w:rFonts w:hint="eastAsia" w:ascii="仿宋_GB2312" w:hAnsi="仿宋_GB2312" w:eastAsia="仿宋_GB2312" w:cs="仿宋_GB2312"/>
          <w:color w:val="auto"/>
          <w:sz w:val="24"/>
          <w:szCs w:val="24"/>
          <w:highlight w:val="none"/>
        </w:rPr>
        <w:t>本项目目标：</w:t>
      </w:r>
      <w:bookmarkStart w:id="5" w:name="OLE_LINK1"/>
      <w:r>
        <w:rPr>
          <w:rFonts w:hint="eastAsia" w:ascii="仿宋_GB2312" w:hAnsi="仿宋_GB2312" w:eastAsia="仿宋_GB2312" w:cs="仿宋_GB2312"/>
          <w:color w:val="auto"/>
          <w:sz w:val="24"/>
          <w:szCs w:val="24"/>
          <w:highlight w:val="none"/>
          <w:lang w:val="en-US" w:eastAsia="zh-CN"/>
        </w:rPr>
        <w:t>实现采购人普惠金融业务全流程系统支撑，普惠金融业务流程包括客户信息管理、评级授信、业务审批、贷款投放、账务核算、投后管理、数据报送等全流程业务操作，本项目涉及普惠金融业务全流程相关的系统功能的改造实施工作，实现采购人普惠金融业务的全链路自动化操作，</w:t>
      </w:r>
      <w:r>
        <w:rPr>
          <w:rFonts w:hint="eastAsia" w:ascii="仿宋_GB2312" w:hAnsi="仿宋_GB2312" w:eastAsia="仿宋_GB2312" w:cs="仿宋_GB2312"/>
          <w:b w:val="0"/>
          <w:bCs/>
          <w:color w:val="auto"/>
          <w:sz w:val="24"/>
          <w:szCs w:val="24"/>
          <w:highlight w:val="none"/>
        </w:rPr>
        <w:t>以此驱动全行普惠业务向高质量、数字化转型升级。</w:t>
      </w:r>
    </w:p>
    <w:bookmarkEnd w:id="5"/>
    <w:p w14:paraId="5A23903E">
      <w:pPr>
        <w:adjustRightInd w:val="0"/>
        <w:spacing w:line="360" w:lineRule="auto"/>
        <w:ind w:firstLine="480" w:firstLineChars="200"/>
        <w:jc w:val="left"/>
        <w:textAlignment w:val="baseline"/>
        <w:rPr>
          <w:rFonts w:hint="default"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rPr>
        <w:t>初步评估涉及改造、测试系统范围包括：</w:t>
      </w:r>
      <w:r>
        <w:rPr>
          <w:rFonts w:hint="eastAsia" w:ascii="仿宋_GB2312" w:hAnsi="仿宋_GB2312" w:eastAsia="仿宋_GB2312" w:cs="仿宋_GB2312"/>
          <w:color w:val="auto"/>
          <w:sz w:val="24"/>
          <w:szCs w:val="24"/>
          <w:highlight w:val="none"/>
          <w:lang w:eastAsia="zh-CN"/>
        </w:rPr>
        <w:t>管理会计、关联交易管理、</w:t>
      </w:r>
      <w:r>
        <w:rPr>
          <w:rFonts w:hint="eastAsia" w:ascii="仿宋_GB2312" w:hAnsi="仿宋_GB2312" w:eastAsia="仿宋_GB2312" w:cs="仿宋_GB2312"/>
          <w:color w:val="auto"/>
          <w:sz w:val="24"/>
          <w:szCs w:val="24"/>
          <w:highlight w:val="none"/>
          <w:lang w:val="en-US" w:eastAsia="zh-CN"/>
        </w:rPr>
        <w:t>财务会计-非引擎等29个物理子系统改造、配合测试。</w:t>
      </w:r>
    </w:p>
    <w:p w14:paraId="0F3B674F">
      <w:pPr>
        <w:numPr>
          <w:ilvl w:val="0"/>
          <w:numId w:val="0"/>
        </w:numPr>
        <w:adjustRightInd w:val="0"/>
        <w:spacing w:line="360" w:lineRule="auto"/>
        <w:ind w:firstLine="480" w:firstLineChars="200"/>
        <w:jc w:val="left"/>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本项目拟采购服务内容：</w:t>
      </w:r>
      <w:r>
        <w:rPr>
          <w:rFonts w:hint="eastAsia" w:ascii="Times New Roman" w:hAnsi="楷体" w:eastAsia="仿宋_GB2312" w:cs="Times New Roman"/>
          <w:b w:val="0"/>
          <w:bCs w:val="0"/>
          <w:color w:val="auto"/>
          <w:sz w:val="24"/>
          <w:szCs w:val="24"/>
          <w:highlight w:val="none"/>
          <w:lang w:val="en-US" w:eastAsia="zh-CN"/>
        </w:rPr>
        <w:t>共采购200人月联合开发系统（普惠金融业务系统）配套改造项目开发实施服务，最终按项目完成的实际工作量据实结算。以订单的方式向供应商下单，</w:t>
      </w:r>
      <w:r>
        <w:rPr>
          <w:rFonts w:hint="eastAsia" w:ascii="仿宋_GB2312" w:hAnsi="仿宋_GB2312" w:eastAsia="仿宋_GB2312" w:cs="仿宋_GB2312"/>
          <w:color w:val="auto"/>
          <w:sz w:val="24"/>
          <w:szCs w:val="24"/>
          <w:highlight w:val="none"/>
        </w:rPr>
        <w:t>完成</w:t>
      </w:r>
      <w:r>
        <w:rPr>
          <w:rFonts w:hint="eastAsia" w:ascii="仿宋_GB2312" w:hAnsi="仿宋_GB2312" w:eastAsia="仿宋_GB2312" w:cs="仿宋_GB2312"/>
          <w:color w:val="auto"/>
          <w:sz w:val="24"/>
          <w:szCs w:val="24"/>
          <w:highlight w:val="none"/>
          <w:lang w:val="en-US" w:eastAsia="zh-CN"/>
        </w:rPr>
        <w:t>采购人普惠金融业务全流程</w:t>
      </w:r>
      <w:r>
        <w:rPr>
          <w:rFonts w:hint="eastAsia" w:ascii="仿宋_GB2312" w:hAnsi="仿宋_GB2312" w:eastAsia="仿宋_GB2312" w:cs="仿宋_GB2312"/>
          <w:color w:val="auto"/>
          <w:sz w:val="24"/>
          <w:szCs w:val="24"/>
          <w:highlight w:val="none"/>
        </w:rPr>
        <w:t>涉及的相关系统功能的改造开发、测试及上线，包括但不限于需求范围内的架构分析、需求分析、开发实施、测试、投产、运行维护等内容。</w:t>
      </w:r>
    </w:p>
    <w:p w14:paraId="6556B48F">
      <w:pPr>
        <w:numPr>
          <w:ilvl w:val="0"/>
          <w:numId w:val="0"/>
        </w:numPr>
        <w:adjustRightInd w:val="0"/>
        <w:spacing w:line="360" w:lineRule="auto"/>
        <w:ind w:firstLine="480" w:firstLineChars="200"/>
        <w:jc w:val="left"/>
        <w:textAlignment w:val="baseline"/>
        <w:rPr>
          <w:rFonts w:hint="default" w:ascii="Times New Roman" w:hAnsi="Times New Roman" w:eastAsia="宋体" w:cs="Times New Roman"/>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rPr>
        <w:t>本项目</w:t>
      </w:r>
      <w:r>
        <w:rPr>
          <w:rFonts w:hint="eastAsia" w:ascii="仿宋_GB2312" w:hAnsi="仿宋_GB2312" w:eastAsia="仿宋_GB2312" w:cs="仿宋_GB2312"/>
          <w:color w:val="auto"/>
          <w:sz w:val="24"/>
          <w:szCs w:val="24"/>
          <w:highlight w:val="none"/>
          <w:lang w:val="en-US" w:eastAsia="zh-CN"/>
        </w:rPr>
        <w:t>要求合同签署后</w:t>
      </w:r>
      <w:r>
        <w:rPr>
          <w:rFonts w:hint="eastAsia" w:ascii="仿宋_GB2312" w:hAnsi="仿宋_GB2312" w:eastAsia="仿宋_GB2312" w:cs="仿宋_GB2312"/>
          <w:b w:val="0"/>
          <w:bCs/>
          <w:color w:val="auto"/>
          <w:kern w:val="2"/>
          <w:sz w:val="24"/>
          <w:szCs w:val="24"/>
          <w:highlight w:val="none"/>
          <w:lang w:val="en-US" w:eastAsia="zh-CN" w:bidi="ar-SA"/>
        </w:rPr>
        <w:t>与普惠系统建设一并</w:t>
      </w:r>
      <w:r>
        <w:rPr>
          <w:rFonts w:hint="eastAsia" w:ascii="仿宋_GB2312" w:hAnsi="仿宋_GB2312" w:eastAsia="仿宋_GB2312" w:cs="仿宋_GB2312"/>
          <w:color w:val="auto"/>
          <w:sz w:val="24"/>
          <w:szCs w:val="24"/>
          <w:highlight w:val="none"/>
          <w:lang w:val="en-US" w:eastAsia="zh-CN"/>
        </w:rPr>
        <w:t>完成投产上线，并力争提前。</w:t>
      </w:r>
      <w:r>
        <w:rPr>
          <w:rFonts w:hint="eastAsia" w:ascii="仿宋_GB2312" w:hAnsi="仿宋_GB2312" w:eastAsia="仿宋_GB2312" w:cs="仿宋_GB2312"/>
          <w:color w:val="auto"/>
          <w:sz w:val="24"/>
          <w:szCs w:val="24"/>
          <w:highlight w:val="none"/>
        </w:rPr>
        <w:t>上线后</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个月为重</w:t>
      </w:r>
      <w:r>
        <w:rPr>
          <w:rFonts w:hint="eastAsia" w:ascii="Times New Roman" w:hAnsi="Times New Roman" w:eastAsia="仿宋_GB2312" w:cs="Times New Roman"/>
          <w:color w:val="auto"/>
          <w:sz w:val="24"/>
          <w:szCs w:val="24"/>
          <w:highlight w:val="none"/>
        </w:rPr>
        <w:t>保期，</w:t>
      </w:r>
      <w:r>
        <w:rPr>
          <w:rFonts w:hint="eastAsia" w:ascii="Times New Roman" w:hAnsi="楷体" w:eastAsia="仿宋_GB2312" w:cs="Times New Roman"/>
          <w:color w:val="auto"/>
          <w:sz w:val="24"/>
          <w:szCs w:val="24"/>
          <w:highlight w:val="none"/>
        </w:rPr>
        <w:t>重保期结束后需提供</w:t>
      </w:r>
      <w:r>
        <w:rPr>
          <w:rFonts w:hint="eastAsia" w:ascii="Times New Roman" w:hAnsi="楷体" w:eastAsia="仿宋_GB2312" w:cs="Times New Roman"/>
          <w:color w:val="auto"/>
          <w:sz w:val="24"/>
          <w:szCs w:val="24"/>
          <w:highlight w:val="none"/>
          <w:lang w:val="en-US" w:eastAsia="zh-CN"/>
        </w:rPr>
        <w:t>1</w:t>
      </w:r>
      <w:r>
        <w:rPr>
          <w:rFonts w:hint="eastAsia" w:ascii="Times New Roman" w:hAnsi="楷体" w:eastAsia="仿宋_GB2312" w:cs="Times New Roman"/>
          <w:color w:val="auto"/>
          <w:sz w:val="24"/>
          <w:szCs w:val="24"/>
          <w:highlight w:val="none"/>
        </w:rPr>
        <w:t>年的免费维保服务</w:t>
      </w:r>
      <w:r>
        <w:rPr>
          <w:rFonts w:hint="eastAsia" w:ascii="仿宋_GB2312" w:hAnsi="Times New Roman" w:eastAsia="仿宋_GB2312" w:cs="仿宋_GB2312"/>
          <w:color w:val="auto"/>
          <w:sz w:val="24"/>
          <w:szCs w:val="24"/>
          <w:highlight w:val="none"/>
        </w:rPr>
        <w:t>。</w:t>
      </w:r>
    </w:p>
    <w:bookmarkEnd w:id="4"/>
    <w:p w14:paraId="06B3F0ED">
      <w:pPr>
        <w:keepNext/>
        <w:keepLines/>
        <w:pageBreakBefore w:val="0"/>
        <w:widowControl w:val="0"/>
        <w:numPr>
          <w:ilvl w:val="0"/>
          <w:numId w:val="2"/>
        </w:numPr>
        <w:kinsoku/>
        <w:wordWrap/>
        <w:overflowPunct/>
        <w:topLinePunct w:val="0"/>
        <w:autoSpaceDE/>
        <w:autoSpaceDN/>
        <w:bidi w:val="0"/>
        <w:adjustRightInd w:val="0"/>
        <w:snapToGrid/>
        <w:spacing w:before="157" w:beforeLines="50" w:after="0" w:afterLines="0" w:line="360" w:lineRule="auto"/>
        <w:ind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6" w:name="_Toc5784"/>
      <w:r>
        <w:rPr>
          <w:rFonts w:ascii="Times New Roman" w:hAnsi="黑体" w:eastAsia="黑体" w:cs="Times New Roman"/>
          <w:b w:val="0"/>
          <w:bCs w:val="0"/>
          <w:color w:val="auto"/>
          <w:kern w:val="2"/>
          <w:sz w:val="24"/>
          <w:szCs w:val="24"/>
          <w:highlight w:val="none"/>
          <w:lang w:val="en-US" w:eastAsia="zh-CN" w:bidi="ar-SA"/>
        </w:rPr>
        <w:t>服务一览表</w:t>
      </w:r>
      <w:bookmarkEnd w:id="6"/>
    </w:p>
    <w:p w14:paraId="03265DBA">
      <w:pPr>
        <w:pageBreakBefore w:val="0"/>
        <w:widowControl w:val="0"/>
        <w:kinsoku/>
        <w:wordWrap/>
        <w:overflowPunct/>
        <w:topLinePunct w:val="0"/>
        <w:autoSpaceDE/>
        <w:autoSpaceDN/>
        <w:bidi w:val="0"/>
        <w:adjustRightInd w:val="0"/>
        <w:snapToGrid/>
        <w:spacing w:before="0" w:beforeLines="0" w:after="0" w:afterLines="0" w:line="360" w:lineRule="auto"/>
        <w:ind w:firstLine="480" w:firstLineChars="200"/>
        <w:jc w:val="left"/>
        <w:textAlignment w:val="baseline"/>
        <w:rPr>
          <w:rFonts w:hint="eastAsia" w:ascii="Times New Roman" w:hAnsi="楷体" w:eastAsia="仿宋_GB2312" w:cs="Times New Roman"/>
          <w:b w:val="0"/>
          <w:bCs w:val="0"/>
          <w:color w:val="auto"/>
          <w:sz w:val="24"/>
          <w:szCs w:val="24"/>
          <w:highlight w:val="none"/>
          <w:lang w:val="en-US" w:eastAsia="zh-CN"/>
        </w:rPr>
      </w:pPr>
      <w:r>
        <w:rPr>
          <w:rFonts w:hint="eastAsia" w:ascii="Times New Roman" w:hAnsi="楷体" w:eastAsia="仿宋_GB2312" w:cs="Times New Roman"/>
          <w:b w:val="0"/>
          <w:bCs w:val="0"/>
          <w:color w:val="auto"/>
          <w:sz w:val="24"/>
          <w:szCs w:val="24"/>
          <w:highlight w:val="none"/>
          <w:lang w:val="en-US" w:eastAsia="zh-CN"/>
        </w:rPr>
        <w:t>具体服务内容包括：</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147"/>
        <w:gridCol w:w="2204"/>
        <w:gridCol w:w="1967"/>
        <w:gridCol w:w="2482"/>
      </w:tblGrid>
      <w:tr w14:paraId="3B44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2" w:type="pct"/>
            <w:vMerge w:val="restart"/>
            <w:tcBorders>
              <w:top w:val="single" w:color="auto" w:sz="4" w:space="0"/>
              <w:left w:val="single" w:color="auto" w:sz="4" w:space="0"/>
              <w:right w:val="single" w:color="auto" w:sz="4" w:space="0"/>
            </w:tcBorders>
            <w:shd w:val="clear" w:color="auto" w:fill="BFBFBF"/>
            <w:noWrap w:val="0"/>
            <w:vAlign w:val="center"/>
          </w:tcPr>
          <w:p w14:paraId="6A73F7C1">
            <w:pPr>
              <w:spacing w:line="360" w:lineRule="auto"/>
              <w:jc w:val="center"/>
              <w:rPr>
                <w:rFonts w:ascii="Times New Roman" w:hAnsi="Times New Roman" w:eastAsia="仿宋_GB2312" w:cs="Times New Roman"/>
                <w:b/>
                <w:bCs/>
                <w:color w:val="auto"/>
                <w:sz w:val="21"/>
                <w:szCs w:val="21"/>
                <w:highlight w:val="none"/>
              </w:rPr>
            </w:pPr>
            <w:r>
              <w:rPr>
                <w:rFonts w:ascii="Times New Roman" w:hAnsi="楷体" w:eastAsia="仿宋_GB2312" w:cs="Times New Roman"/>
                <w:b/>
                <w:bCs/>
                <w:color w:val="auto"/>
                <w:sz w:val="21"/>
                <w:szCs w:val="21"/>
                <w:highlight w:val="none"/>
              </w:rPr>
              <w:t>序号</w:t>
            </w:r>
          </w:p>
        </w:tc>
        <w:tc>
          <w:tcPr>
            <w:tcW w:w="673" w:type="pct"/>
            <w:vMerge w:val="restart"/>
            <w:tcBorders>
              <w:top w:val="single" w:color="auto" w:sz="4" w:space="0"/>
              <w:left w:val="single" w:color="auto" w:sz="4" w:space="0"/>
              <w:right w:val="single" w:color="auto" w:sz="4" w:space="0"/>
            </w:tcBorders>
            <w:shd w:val="clear" w:color="auto" w:fill="BFBFBF"/>
            <w:noWrap w:val="0"/>
            <w:vAlign w:val="center"/>
          </w:tcPr>
          <w:p w14:paraId="50EDE069">
            <w:pPr>
              <w:spacing w:line="360" w:lineRule="auto"/>
              <w:jc w:val="center"/>
              <w:rPr>
                <w:rFonts w:ascii="Times New Roman" w:hAnsi="Times New Roman" w:eastAsia="仿宋_GB2312" w:cs="Times New Roman"/>
                <w:b/>
                <w:bCs/>
                <w:color w:val="auto"/>
                <w:sz w:val="21"/>
                <w:szCs w:val="21"/>
                <w:highlight w:val="none"/>
              </w:rPr>
            </w:pPr>
            <w:r>
              <w:rPr>
                <w:rFonts w:ascii="Times New Roman" w:hAnsi="楷体" w:eastAsia="仿宋_GB2312" w:cs="Times New Roman"/>
                <w:b/>
                <w:bCs/>
                <w:color w:val="auto"/>
                <w:sz w:val="21"/>
                <w:szCs w:val="21"/>
                <w:highlight w:val="none"/>
              </w:rPr>
              <w:t>服务名称</w:t>
            </w:r>
          </w:p>
        </w:tc>
        <w:tc>
          <w:tcPr>
            <w:tcW w:w="1293" w:type="pct"/>
            <w:vMerge w:val="restart"/>
            <w:tcBorders>
              <w:top w:val="single" w:color="auto" w:sz="4" w:space="0"/>
              <w:left w:val="single" w:color="auto" w:sz="4" w:space="0"/>
              <w:right w:val="single" w:color="auto" w:sz="4" w:space="0"/>
            </w:tcBorders>
            <w:shd w:val="clear" w:color="auto" w:fill="BFBFBF"/>
            <w:noWrap w:val="0"/>
            <w:vAlign w:val="center"/>
          </w:tcPr>
          <w:p w14:paraId="66C22DCA">
            <w:pPr>
              <w:spacing w:line="360" w:lineRule="auto"/>
              <w:jc w:val="center"/>
              <w:rPr>
                <w:rFonts w:ascii="Times New Roman" w:hAnsi="Times New Roman" w:eastAsia="仿宋_GB2312" w:cs="Times New Roman"/>
                <w:b/>
                <w:bCs/>
                <w:color w:val="auto"/>
                <w:sz w:val="21"/>
                <w:szCs w:val="21"/>
                <w:highlight w:val="none"/>
              </w:rPr>
            </w:pPr>
            <w:r>
              <w:rPr>
                <w:rFonts w:ascii="Times New Roman" w:hAnsi="楷体" w:eastAsia="仿宋_GB2312" w:cs="Times New Roman"/>
                <w:b/>
                <w:bCs/>
                <w:color w:val="auto"/>
                <w:sz w:val="21"/>
                <w:szCs w:val="21"/>
                <w:highlight w:val="none"/>
              </w:rPr>
              <w:t>服务期</w:t>
            </w:r>
          </w:p>
        </w:tc>
        <w:tc>
          <w:tcPr>
            <w:tcW w:w="1154" w:type="pct"/>
            <w:vMerge w:val="restart"/>
            <w:tcBorders>
              <w:top w:val="single" w:color="auto" w:sz="4" w:space="0"/>
              <w:left w:val="single" w:color="auto" w:sz="4" w:space="0"/>
              <w:right w:val="single" w:color="auto" w:sz="4" w:space="0"/>
            </w:tcBorders>
            <w:shd w:val="clear" w:color="auto" w:fill="BFBFBF"/>
            <w:noWrap w:val="0"/>
            <w:vAlign w:val="center"/>
          </w:tcPr>
          <w:p w14:paraId="041F1729">
            <w:pPr>
              <w:spacing w:line="360" w:lineRule="auto"/>
              <w:jc w:val="center"/>
              <w:rPr>
                <w:rFonts w:ascii="Times New Roman" w:hAnsi="Times New Roman" w:eastAsia="仿宋_GB2312" w:cs="Times New Roman"/>
                <w:b/>
                <w:bCs/>
                <w:color w:val="auto"/>
                <w:sz w:val="21"/>
                <w:szCs w:val="21"/>
                <w:highlight w:val="none"/>
              </w:rPr>
            </w:pPr>
            <w:r>
              <w:rPr>
                <w:rFonts w:ascii="Times New Roman" w:hAnsi="楷体" w:eastAsia="仿宋_GB2312" w:cs="Times New Roman"/>
                <w:b/>
                <w:bCs/>
                <w:color w:val="auto"/>
                <w:sz w:val="21"/>
                <w:szCs w:val="21"/>
                <w:highlight w:val="none"/>
              </w:rPr>
              <w:t>服务人</w:t>
            </w:r>
            <w:r>
              <w:rPr>
                <w:rFonts w:hint="eastAsia" w:ascii="Times New Roman" w:hAnsi="楷体" w:eastAsia="仿宋_GB2312" w:cs="Times New Roman"/>
                <w:b/>
                <w:bCs/>
                <w:color w:val="auto"/>
                <w:sz w:val="21"/>
                <w:szCs w:val="21"/>
                <w:highlight w:val="none"/>
              </w:rPr>
              <w:t>员和</w:t>
            </w:r>
            <w:r>
              <w:rPr>
                <w:rFonts w:ascii="Times New Roman" w:hAnsi="楷体" w:eastAsia="仿宋_GB2312" w:cs="Times New Roman"/>
                <w:b/>
                <w:bCs/>
                <w:color w:val="auto"/>
                <w:sz w:val="21"/>
                <w:szCs w:val="21"/>
                <w:highlight w:val="none"/>
              </w:rPr>
              <w:t>数</w:t>
            </w:r>
            <w:r>
              <w:rPr>
                <w:rFonts w:hint="eastAsia" w:ascii="Times New Roman" w:hAnsi="楷体" w:eastAsia="仿宋_GB2312" w:cs="Times New Roman"/>
                <w:b/>
                <w:bCs/>
                <w:color w:val="auto"/>
                <w:sz w:val="21"/>
                <w:szCs w:val="21"/>
                <w:highlight w:val="none"/>
              </w:rPr>
              <w:t>量</w:t>
            </w:r>
            <w:r>
              <w:rPr>
                <w:rFonts w:ascii="Times New Roman" w:hAnsi="楷体" w:eastAsia="仿宋_GB2312" w:cs="Times New Roman"/>
                <w:b/>
                <w:bCs/>
                <w:color w:val="auto"/>
                <w:sz w:val="21"/>
                <w:szCs w:val="21"/>
                <w:highlight w:val="none"/>
              </w:rPr>
              <w:t>要求</w:t>
            </w:r>
          </w:p>
        </w:tc>
        <w:tc>
          <w:tcPr>
            <w:tcW w:w="1456" w:type="pct"/>
            <w:vMerge w:val="restart"/>
            <w:tcBorders>
              <w:top w:val="single" w:color="auto" w:sz="4" w:space="0"/>
              <w:left w:val="single" w:color="auto" w:sz="4" w:space="0"/>
              <w:right w:val="single" w:color="auto" w:sz="4" w:space="0"/>
            </w:tcBorders>
            <w:shd w:val="clear" w:color="auto" w:fill="BFBFBF"/>
            <w:noWrap w:val="0"/>
            <w:vAlign w:val="center"/>
          </w:tcPr>
          <w:p w14:paraId="1F573005">
            <w:pPr>
              <w:spacing w:line="360" w:lineRule="auto"/>
              <w:jc w:val="center"/>
              <w:rPr>
                <w:rFonts w:ascii="Times New Roman" w:hAnsi="Times New Roman" w:eastAsia="仿宋_GB2312" w:cs="Times New Roman"/>
                <w:b/>
                <w:bCs/>
                <w:color w:val="auto"/>
                <w:sz w:val="21"/>
                <w:szCs w:val="21"/>
                <w:highlight w:val="none"/>
              </w:rPr>
            </w:pPr>
            <w:r>
              <w:rPr>
                <w:rFonts w:hint="eastAsia" w:ascii="Times New Roman" w:hAnsi="Times New Roman" w:eastAsia="仿宋_GB2312" w:cs="Times New Roman"/>
                <w:b/>
                <w:bCs/>
                <w:color w:val="auto"/>
                <w:sz w:val="21"/>
                <w:szCs w:val="21"/>
                <w:highlight w:val="none"/>
              </w:rPr>
              <w:t>服务内容</w:t>
            </w:r>
          </w:p>
        </w:tc>
      </w:tr>
      <w:tr w14:paraId="7439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2" w:type="pct"/>
            <w:vMerge w:val="continue"/>
            <w:tcBorders>
              <w:left w:val="single" w:color="auto" w:sz="4" w:space="0"/>
              <w:bottom w:val="single" w:color="auto" w:sz="4" w:space="0"/>
              <w:right w:val="single" w:color="auto" w:sz="4" w:space="0"/>
            </w:tcBorders>
            <w:shd w:val="clear" w:color="auto" w:fill="BFBFBF"/>
            <w:noWrap w:val="0"/>
            <w:vAlign w:val="top"/>
          </w:tcPr>
          <w:p w14:paraId="5648434F">
            <w:pPr>
              <w:spacing w:line="360" w:lineRule="auto"/>
              <w:jc w:val="center"/>
              <w:rPr>
                <w:rFonts w:ascii="Times New Roman" w:hAnsi="Times New Roman" w:eastAsia="仿宋_GB2312" w:cs="Times New Roman"/>
                <w:color w:val="auto"/>
                <w:sz w:val="24"/>
                <w:szCs w:val="24"/>
                <w:highlight w:val="none"/>
              </w:rPr>
            </w:pPr>
          </w:p>
        </w:tc>
        <w:tc>
          <w:tcPr>
            <w:tcW w:w="673" w:type="pct"/>
            <w:vMerge w:val="continue"/>
            <w:tcBorders>
              <w:left w:val="single" w:color="auto" w:sz="4" w:space="0"/>
              <w:bottom w:val="single" w:color="auto" w:sz="4" w:space="0"/>
              <w:right w:val="single" w:color="auto" w:sz="4" w:space="0"/>
            </w:tcBorders>
            <w:shd w:val="clear" w:color="auto" w:fill="BFBFBF"/>
            <w:noWrap w:val="0"/>
            <w:vAlign w:val="top"/>
          </w:tcPr>
          <w:p w14:paraId="1DC2CD21">
            <w:pPr>
              <w:spacing w:line="360" w:lineRule="auto"/>
              <w:jc w:val="center"/>
              <w:rPr>
                <w:rFonts w:ascii="Times New Roman" w:hAnsi="Times New Roman" w:eastAsia="仿宋_GB2312" w:cs="Times New Roman"/>
                <w:color w:val="auto"/>
                <w:sz w:val="24"/>
                <w:szCs w:val="24"/>
                <w:highlight w:val="none"/>
              </w:rPr>
            </w:pPr>
          </w:p>
        </w:tc>
        <w:tc>
          <w:tcPr>
            <w:tcW w:w="1293" w:type="pct"/>
            <w:vMerge w:val="continue"/>
            <w:tcBorders>
              <w:left w:val="single" w:color="auto" w:sz="4" w:space="0"/>
              <w:bottom w:val="single" w:color="auto" w:sz="4" w:space="0"/>
              <w:right w:val="single" w:color="auto" w:sz="4" w:space="0"/>
            </w:tcBorders>
            <w:shd w:val="clear" w:color="auto" w:fill="BFBFBF"/>
            <w:noWrap w:val="0"/>
            <w:vAlign w:val="top"/>
          </w:tcPr>
          <w:p w14:paraId="223FA6BB">
            <w:pPr>
              <w:spacing w:line="360" w:lineRule="auto"/>
              <w:jc w:val="center"/>
              <w:rPr>
                <w:rFonts w:ascii="Times New Roman" w:hAnsi="Times New Roman" w:eastAsia="仿宋_GB2312" w:cs="Times New Roman"/>
                <w:color w:val="auto"/>
                <w:sz w:val="24"/>
                <w:szCs w:val="24"/>
                <w:highlight w:val="none"/>
              </w:rPr>
            </w:pPr>
          </w:p>
        </w:tc>
        <w:tc>
          <w:tcPr>
            <w:tcW w:w="1154" w:type="pct"/>
            <w:vMerge w:val="continue"/>
            <w:tcBorders>
              <w:left w:val="single" w:color="auto" w:sz="4" w:space="0"/>
              <w:bottom w:val="single" w:color="auto" w:sz="4" w:space="0"/>
              <w:right w:val="single" w:color="auto" w:sz="4" w:space="0"/>
            </w:tcBorders>
            <w:shd w:val="clear" w:color="auto" w:fill="BFBFBF"/>
            <w:noWrap w:val="0"/>
            <w:vAlign w:val="top"/>
          </w:tcPr>
          <w:p w14:paraId="1E1CE04B">
            <w:pPr>
              <w:spacing w:line="360" w:lineRule="auto"/>
              <w:jc w:val="center"/>
              <w:rPr>
                <w:rFonts w:ascii="Times New Roman" w:hAnsi="Times New Roman" w:eastAsia="仿宋_GB2312" w:cs="Times New Roman"/>
                <w:color w:val="auto"/>
                <w:sz w:val="24"/>
                <w:szCs w:val="24"/>
                <w:highlight w:val="none"/>
              </w:rPr>
            </w:pPr>
          </w:p>
        </w:tc>
        <w:tc>
          <w:tcPr>
            <w:tcW w:w="1456" w:type="pct"/>
            <w:vMerge w:val="continue"/>
            <w:tcBorders>
              <w:left w:val="single" w:color="auto" w:sz="4" w:space="0"/>
              <w:bottom w:val="single" w:color="auto" w:sz="4" w:space="0"/>
              <w:right w:val="single" w:color="auto" w:sz="4" w:space="0"/>
            </w:tcBorders>
            <w:shd w:val="clear" w:color="auto" w:fill="BFBFBF"/>
            <w:noWrap w:val="0"/>
            <w:vAlign w:val="top"/>
          </w:tcPr>
          <w:p w14:paraId="258E80C3">
            <w:pPr>
              <w:spacing w:line="360" w:lineRule="auto"/>
              <w:jc w:val="center"/>
              <w:rPr>
                <w:rFonts w:ascii="Times New Roman" w:hAnsi="Times New Roman" w:eastAsia="仿宋_GB2312" w:cs="Times New Roman"/>
                <w:color w:val="auto"/>
                <w:sz w:val="24"/>
                <w:szCs w:val="24"/>
                <w:highlight w:val="none"/>
              </w:rPr>
            </w:pPr>
          </w:p>
        </w:tc>
      </w:tr>
      <w:tr w14:paraId="391B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Merge w:val="continue"/>
            <w:tcBorders>
              <w:left w:val="single" w:color="auto" w:sz="4" w:space="0"/>
              <w:bottom w:val="single" w:color="auto" w:sz="4" w:space="0"/>
              <w:right w:val="single" w:color="auto" w:sz="4" w:space="0"/>
            </w:tcBorders>
            <w:noWrap w:val="0"/>
            <w:vAlign w:val="center"/>
          </w:tcPr>
          <w:p w14:paraId="70815BA1">
            <w:pPr>
              <w:numPr>
                <w:ilvl w:val="0"/>
                <w:numId w:val="3"/>
              </w:numPr>
              <w:spacing w:line="360" w:lineRule="auto"/>
              <w:jc w:val="center"/>
              <w:rPr>
                <w:rFonts w:hint="eastAsia" w:ascii="仿宋_GB2312" w:hAnsi="仿宋_GB2312" w:eastAsia="仿宋_GB2312" w:cs="仿宋_GB2312"/>
                <w:color w:val="auto"/>
                <w:sz w:val="24"/>
                <w:szCs w:val="24"/>
                <w:highlight w:val="none"/>
              </w:rPr>
            </w:pPr>
          </w:p>
        </w:tc>
        <w:tc>
          <w:tcPr>
            <w:tcW w:w="673" w:type="pct"/>
            <w:vMerge w:val="continue"/>
            <w:tcBorders>
              <w:left w:val="single" w:color="auto" w:sz="4" w:space="0"/>
              <w:bottom w:val="single" w:color="auto" w:sz="4" w:space="0"/>
              <w:right w:val="single" w:color="auto" w:sz="4" w:space="0"/>
            </w:tcBorders>
            <w:noWrap w:val="0"/>
            <w:vAlign w:val="center"/>
          </w:tcPr>
          <w:p w14:paraId="35CCE65F">
            <w:pPr>
              <w:spacing w:line="360" w:lineRule="auto"/>
              <w:rPr>
                <w:rFonts w:hint="eastAsia" w:ascii="仿宋_GB2312" w:hAnsi="仿宋_GB2312" w:eastAsia="仿宋_GB2312" w:cs="仿宋_GB2312"/>
                <w:color w:val="auto"/>
                <w:sz w:val="24"/>
                <w:szCs w:val="24"/>
                <w:highlight w:val="none"/>
              </w:rPr>
            </w:pPr>
          </w:p>
        </w:tc>
        <w:tc>
          <w:tcPr>
            <w:tcW w:w="1293" w:type="pct"/>
            <w:vMerge w:val="continue"/>
            <w:tcBorders>
              <w:left w:val="single" w:color="auto" w:sz="4" w:space="0"/>
              <w:bottom w:val="single" w:color="auto" w:sz="4" w:space="0"/>
              <w:right w:val="single" w:color="auto" w:sz="4" w:space="0"/>
            </w:tcBorders>
            <w:noWrap w:val="0"/>
            <w:vAlign w:val="center"/>
          </w:tcPr>
          <w:p w14:paraId="15397D13">
            <w:pPr>
              <w:spacing w:line="360" w:lineRule="auto"/>
              <w:jc w:val="center"/>
              <w:rPr>
                <w:rFonts w:hint="eastAsia" w:ascii="仿宋_GB2312" w:hAnsi="仿宋_GB2312" w:eastAsia="仿宋_GB2312" w:cs="仿宋_GB2312"/>
                <w:color w:val="auto"/>
                <w:sz w:val="24"/>
                <w:szCs w:val="24"/>
                <w:highlight w:val="none"/>
              </w:rPr>
            </w:pPr>
          </w:p>
        </w:tc>
        <w:tc>
          <w:tcPr>
            <w:tcW w:w="1154" w:type="pct"/>
            <w:vMerge w:val="continue"/>
            <w:tcBorders>
              <w:left w:val="single" w:color="auto" w:sz="4" w:space="0"/>
              <w:bottom w:val="single" w:color="auto" w:sz="4" w:space="0"/>
              <w:right w:val="single" w:color="auto" w:sz="4" w:space="0"/>
            </w:tcBorders>
            <w:noWrap w:val="0"/>
            <w:vAlign w:val="center"/>
          </w:tcPr>
          <w:p w14:paraId="7A7319F6">
            <w:pPr>
              <w:spacing w:line="360" w:lineRule="auto"/>
              <w:jc w:val="center"/>
              <w:rPr>
                <w:rFonts w:hint="eastAsia" w:ascii="仿宋_GB2312" w:hAnsi="仿宋_GB2312" w:eastAsia="仿宋_GB2312" w:cs="仿宋_GB2312"/>
                <w:color w:val="auto"/>
                <w:sz w:val="24"/>
                <w:szCs w:val="24"/>
                <w:highlight w:val="none"/>
              </w:rPr>
            </w:pPr>
          </w:p>
        </w:tc>
        <w:tc>
          <w:tcPr>
            <w:tcW w:w="1456" w:type="pct"/>
            <w:vMerge w:val="continue"/>
            <w:tcBorders>
              <w:left w:val="single" w:color="auto" w:sz="4" w:space="0"/>
              <w:bottom w:val="single" w:color="auto" w:sz="4" w:space="0"/>
              <w:right w:val="single" w:color="auto" w:sz="4" w:space="0"/>
            </w:tcBorders>
            <w:noWrap w:val="0"/>
            <w:vAlign w:val="center"/>
          </w:tcPr>
          <w:p w14:paraId="6B2B7432">
            <w:pPr>
              <w:spacing w:line="360" w:lineRule="auto"/>
              <w:jc w:val="center"/>
              <w:rPr>
                <w:rFonts w:hint="eastAsia" w:ascii="仿宋_GB2312" w:hAnsi="仿宋_GB2312" w:eastAsia="仿宋_GB2312" w:cs="仿宋_GB2312"/>
                <w:color w:val="auto"/>
                <w:sz w:val="24"/>
                <w:szCs w:val="24"/>
                <w:highlight w:val="none"/>
              </w:rPr>
            </w:pPr>
          </w:p>
        </w:tc>
      </w:tr>
      <w:tr w14:paraId="704A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Merge w:val="continue"/>
            <w:tcBorders>
              <w:left w:val="single" w:color="auto" w:sz="4" w:space="0"/>
              <w:bottom w:val="single" w:color="auto" w:sz="4" w:space="0"/>
              <w:right w:val="single" w:color="auto" w:sz="4" w:space="0"/>
            </w:tcBorders>
            <w:noWrap w:val="0"/>
            <w:vAlign w:val="center"/>
          </w:tcPr>
          <w:p w14:paraId="1932C881">
            <w:pPr>
              <w:numPr>
                <w:ilvl w:val="0"/>
                <w:numId w:val="3"/>
              </w:numPr>
              <w:spacing w:line="360" w:lineRule="auto"/>
              <w:jc w:val="center"/>
              <w:rPr>
                <w:rFonts w:hint="eastAsia" w:ascii="仿宋_GB2312" w:hAnsi="仿宋_GB2312" w:eastAsia="仿宋_GB2312" w:cs="仿宋_GB2312"/>
                <w:color w:val="auto"/>
                <w:sz w:val="24"/>
                <w:szCs w:val="24"/>
                <w:highlight w:val="none"/>
              </w:rPr>
            </w:pPr>
          </w:p>
        </w:tc>
        <w:tc>
          <w:tcPr>
            <w:tcW w:w="673" w:type="pct"/>
            <w:vMerge w:val="continue"/>
            <w:tcBorders>
              <w:left w:val="single" w:color="auto" w:sz="4" w:space="0"/>
              <w:bottom w:val="single" w:color="auto" w:sz="4" w:space="0"/>
              <w:right w:val="single" w:color="auto" w:sz="4" w:space="0"/>
            </w:tcBorders>
            <w:noWrap w:val="0"/>
            <w:vAlign w:val="center"/>
          </w:tcPr>
          <w:p w14:paraId="455E4494">
            <w:pPr>
              <w:spacing w:line="360" w:lineRule="auto"/>
              <w:rPr>
                <w:rFonts w:hint="eastAsia" w:ascii="仿宋_GB2312" w:hAnsi="仿宋_GB2312" w:eastAsia="仿宋_GB2312" w:cs="仿宋_GB2312"/>
                <w:color w:val="auto"/>
                <w:sz w:val="24"/>
                <w:szCs w:val="24"/>
                <w:highlight w:val="none"/>
              </w:rPr>
            </w:pPr>
          </w:p>
        </w:tc>
        <w:tc>
          <w:tcPr>
            <w:tcW w:w="1293" w:type="pct"/>
            <w:vMerge w:val="continue"/>
            <w:tcBorders>
              <w:left w:val="single" w:color="auto" w:sz="4" w:space="0"/>
              <w:bottom w:val="single" w:color="auto" w:sz="4" w:space="0"/>
              <w:right w:val="single" w:color="auto" w:sz="4" w:space="0"/>
            </w:tcBorders>
            <w:noWrap w:val="0"/>
            <w:vAlign w:val="center"/>
          </w:tcPr>
          <w:p w14:paraId="33A7A37B">
            <w:pPr>
              <w:spacing w:line="360" w:lineRule="auto"/>
              <w:jc w:val="center"/>
              <w:rPr>
                <w:rFonts w:hint="eastAsia" w:ascii="仿宋_GB2312" w:hAnsi="仿宋_GB2312" w:eastAsia="仿宋_GB2312" w:cs="仿宋_GB2312"/>
                <w:color w:val="auto"/>
                <w:sz w:val="24"/>
                <w:szCs w:val="24"/>
                <w:highlight w:val="none"/>
              </w:rPr>
            </w:pPr>
          </w:p>
        </w:tc>
        <w:tc>
          <w:tcPr>
            <w:tcW w:w="1154" w:type="pct"/>
            <w:vMerge w:val="continue"/>
            <w:tcBorders>
              <w:left w:val="single" w:color="auto" w:sz="4" w:space="0"/>
              <w:bottom w:val="single" w:color="auto" w:sz="4" w:space="0"/>
              <w:right w:val="single" w:color="auto" w:sz="4" w:space="0"/>
            </w:tcBorders>
            <w:noWrap w:val="0"/>
            <w:vAlign w:val="center"/>
          </w:tcPr>
          <w:p w14:paraId="4F36F445">
            <w:pPr>
              <w:spacing w:line="360" w:lineRule="auto"/>
              <w:jc w:val="center"/>
              <w:rPr>
                <w:rFonts w:hint="eastAsia" w:ascii="仿宋_GB2312" w:hAnsi="仿宋_GB2312" w:eastAsia="仿宋_GB2312" w:cs="仿宋_GB2312"/>
                <w:color w:val="auto"/>
                <w:sz w:val="24"/>
                <w:szCs w:val="24"/>
                <w:highlight w:val="none"/>
              </w:rPr>
            </w:pPr>
          </w:p>
        </w:tc>
        <w:tc>
          <w:tcPr>
            <w:tcW w:w="1456" w:type="pct"/>
            <w:vMerge w:val="continue"/>
            <w:tcBorders>
              <w:left w:val="single" w:color="auto" w:sz="4" w:space="0"/>
              <w:bottom w:val="single" w:color="auto" w:sz="4" w:space="0"/>
              <w:right w:val="single" w:color="auto" w:sz="4" w:space="0"/>
            </w:tcBorders>
            <w:noWrap w:val="0"/>
            <w:vAlign w:val="center"/>
          </w:tcPr>
          <w:p w14:paraId="112CE518">
            <w:pPr>
              <w:spacing w:line="360" w:lineRule="auto"/>
              <w:jc w:val="center"/>
              <w:rPr>
                <w:rFonts w:hint="eastAsia" w:ascii="仿宋_GB2312" w:hAnsi="仿宋_GB2312" w:eastAsia="仿宋_GB2312" w:cs="仿宋_GB2312"/>
                <w:color w:val="auto"/>
                <w:sz w:val="24"/>
                <w:szCs w:val="24"/>
                <w:highlight w:val="none"/>
              </w:rPr>
            </w:pPr>
          </w:p>
        </w:tc>
      </w:tr>
      <w:tr w14:paraId="65E0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Merge w:val="continue"/>
            <w:tcBorders>
              <w:left w:val="single" w:color="auto" w:sz="4" w:space="0"/>
              <w:right w:val="single" w:color="auto" w:sz="4" w:space="0"/>
            </w:tcBorders>
            <w:noWrap w:val="0"/>
            <w:vAlign w:val="center"/>
          </w:tcPr>
          <w:p w14:paraId="2FA856EC">
            <w:pPr>
              <w:numPr>
                <w:ilvl w:val="0"/>
                <w:numId w:val="3"/>
              </w:numPr>
              <w:spacing w:line="360" w:lineRule="auto"/>
              <w:jc w:val="center"/>
              <w:rPr>
                <w:rFonts w:hint="eastAsia" w:ascii="仿宋_GB2312" w:hAnsi="仿宋_GB2312" w:eastAsia="仿宋_GB2312" w:cs="仿宋_GB2312"/>
                <w:color w:val="auto"/>
                <w:sz w:val="24"/>
                <w:szCs w:val="24"/>
                <w:highlight w:val="none"/>
              </w:rPr>
            </w:pPr>
          </w:p>
        </w:tc>
        <w:tc>
          <w:tcPr>
            <w:tcW w:w="673" w:type="pct"/>
            <w:vMerge w:val="continue"/>
            <w:tcBorders>
              <w:left w:val="single" w:color="auto" w:sz="4" w:space="0"/>
              <w:right w:val="single" w:color="auto" w:sz="4" w:space="0"/>
            </w:tcBorders>
            <w:noWrap w:val="0"/>
            <w:vAlign w:val="center"/>
          </w:tcPr>
          <w:p w14:paraId="320A15DA">
            <w:pPr>
              <w:spacing w:line="360" w:lineRule="auto"/>
              <w:rPr>
                <w:rFonts w:hint="eastAsia" w:ascii="仿宋_GB2312" w:hAnsi="仿宋_GB2312" w:eastAsia="仿宋_GB2312" w:cs="仿宋_GB2312"/>
                <w:color w:val="auto"/>
                <w:sz w:val="24"/>
                <w:szCs w:val="24"/>
                <w:highlight w:val="none"/>
              </w:rPr>
            </w:pPr>
          </w:p>
        </w:tc>
        <w:tc>
          <w:tcPr>
            <w:tcW w:w="1293" w:type="pct"/>
            <w:vMerge w:val="continue"/>
            <w:tcBorders>
              <w:left w:val="single" w:color="auto" w:sz="4" w:space="0"/>
              <w:right w:val="single" w:color="auto" w:sz="4" w:space="0"/>
            </w:tcBorders>
            <w:noWrap w:val="0"/>
            <w:vAlign w:val="center"/>
          </w:tcPr>
          <w:p w14:paraId="68C94267">
            <w:pPr>
              <w:spacing w:line="360" w:lineRule="auto"/>
              <w:jc w:val="center"/>
              <w:rPr>
                <w:rFonts w:hint="eastAsia" w:ascii="仿宋_GB2312" w:hAnsi="仿宋_GB2312" w:eastAsia="仿宋_GB2312" w:cs="仿宋_GB2312"/>
                <w:color w:val="auto"/>
                <w:sz w:val="24"/>
                <w:szCs w:val="24"/>
                <w:highlight w:val="none"/>
              </w:rPr>
            </w:pPr>
          </w:p>
        </w:tc>
        <w:tc>
          <w:tcPr>
            <w:tcW w:w="1154" w:type="pct"/>
            <w:vMerge w:val="continue"/>
            <w:tcBorders>
              <w:left w:val="single" w:color="auto" w:sz="4" w:space="0"/>
              <w:right w:val="single" w:color="auto" w:sz="4" w:space="0"/>
            </w:tcBorders>
            <w:noWrap w:val="0"/>
            <w:vAlign w:val="center"/>
          </w:tcPr>
          <w:p w14:paraId="30CB616D">
            <w:pPr>
              <w:spacing w:line="360" w:lineRule="auto"/>
              <w:jc w:val="center"/>
              <w:rPr>
                <w:rFonts w:hint="eastAsia" w:ascii="仿宋_GB2312" w:hAnsi="仿宋_GB2312" w:eastAsia="仿宋_GB2312" w:cs="仿宋_GB2312"/>
                <w:color w:val="auto"/>
                <w:sz w:val="24"/>
                <w:szCs w:val="24"/>
                <w:highlight w:val="none"/>
              </w:rPr>
            </w:pPr>
          </w:p>
        </w:tc>
        <w:tc>
          <w:tcPr>
            <w:tcW w:w="1456" w:type="pct"/>
            <w:vMerge w:val="continue"/>
            <w:tcBorders>
              <w:left w:val="single" w:color="auto" w:sz="4" w:space="0"/>
              <w:right w:val="single" w:color="auto" w:sz="4" w:space="0"/>
            </w:tcBorders>
            <w:noWrap w:val="0"/>
            <w:vAlign w:val="center"/>
          </w:tcPr>
          <w:p w14:paraId="2A9469FF">
            <w:pPr>
              <w:spacing w:line="360" w:lineRule="auto"/>
              <w:jc w:val="center"/>
              <w:rPr>
                <w:rFonts w:hint="eastAsia" w:ascii="仿宋_GB2312" w:hAnsi="仿宋_GB2312" w:eastAsia="仿宋_GB2312" w:cs="仿宋_GB2312"/>
                <w:color w:val="auto"/>
                <w:sz w:val="24"/>
                <w:szCs w:val="24"/>
                <w:highlight w:val="none"/>
              </w:rPr>
            </w:pPr>
          </w:p>
        </w:tc>
      </w:tr>
      <w:tr w14:paraId="007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2" w:type="pct"/>
            <w:vMerge w:val="continue"/>
            <w:tcBorders>
              <w:left w:val="single" w:color="auto" w:sz="4" w:space="0"/>
              <w:bottom w:val="single" w:color="auto" w:sz="4" w:space="0"/>
              <w:right w:val="single" w:color="auto" w:sz="4" w:space="0"/>
            </w:tcBorders>
            <w:noWrap w:val="0"/>
            <w:vAlign w:val="center"/>
          </w:tcPr>
          <w:p w14:paraId="1380A0A1">
            <w:pPr>
              <w:numPr>
                <w:ilvl w:val="0"/>
                <w:numId w:val="3"/>
              </w:numPr>
              <w:spacing w:line="360" w:lineRule="auto"/>
              <w:jc w:val="center"/>
              <w:rPr>
                <w:rFonts w:hint="eastAsia" w:ascii="仿宋_GB2312" w:hAnsi="仿宋_GB2312" w:eastAsia="仿宋_GB2312" w:cs="仿宋_GB2312"/>
                <w:color w:val="auto"/>
                <w:sz w:val="24"/>
                <w:szCs w:val="24"/>
                <w:highlight w:val="none"/>
              </w:rPr>
            </w:pPr>
          </w:p>
        </w:tc>
        <w:tc>
          <w:tcPr>
            <w:tcW w:w="673" w:type="pct"/>
            <w:vMerge w:val="continue"/>
            <w:tcBorders>
              <w:left w:val="single" w:color="auto" w:sz="4" w:space="0"/>
              <w:bottom w:val="single" w:color="auto" w:sz="4" w:space="0"/>
              <w:right w:val="single" w:color="auto" w:sz="4" w:space="0"/>
            </w:tcBorders>
            <w:noWrap w:val="0"/>
            <w:vAlign w:val="center"/>
          </w:tcPr>
          <w:p w14:paraId="0FA2E385">
            <w:pPr>
              <w:spacing w:line="360" w:lineRule="auto"/>
              <w:rPr>
                <w:rFonts w:hint="eastAsia" w:ascii="仿宋_GB2312" w:hAnsi="仿宋_GB2312" w:eastAsia="仿宋_GB2312" w:cs="仿宋_GB2312"/>
                <w:color w:val="auto"/>
                <w:sz w:val="24"/>
                <w:szCs w:val="24"/>
                <w:highlight w:val="none"/>
              </w:rPr>
            </w:pPr>
          </w:p>
        </w:tc>
        <w:tc>
          <w:tcPr>
            <w:tcW w:w="1293" w:type="pct"/>
            <w:vMerge w:val="continue"/>
            <w:tcBorders>
              <w:left w:val="single" w:color="auto" w:sz="4" w:space="0"/>
              <w:bottom w:val="single" w:color="auto" w:sz="4" w:space="0"/>
              <w:right w:val="single" w:color="auto" w:sz="4" w:space="0"/>
            </w:tcBorders>
            <w:noWrap w:val="0"/>
            <w:vAlign w:val="center"/>
          </w:tcPr>
          <w:p w14:paraId="50780329">
            <w:pPr>
              <w:spacing w:line="360" w:lineRule="auto"/>
              <w:jc w:val="center"/>
              <w:rPr>
                <w:rFonts w:hint="eastAsia" w:ascii="仿宋_GB2312" w:hAnsi="仿宋_GB2312" w:eastAsia="仿宋_GB2312" w:cs="仿宋_GB2312"/>
                <w:color w:val="auto"/>
                <w:sz w:val="24"/>
                <w:szCs w:val="24"/>
                <w:highlight w:val="none"/>
              </w:rPr>
            </w:pPr>
          </w:p>
        </w:tc>
        <w:tc>
          <w:tcPr>
            <w:tcW w:w="1154" w:type="pct"/>
            <w:vMerge w:val="continue"/>
            <w:tcBorders>
              <w:left w:val="single" w:color="auto" w:sz="4" w:space="0"/>
              <w:bottom w:val="single" w:color="auto" w:sz="4" w:space="0"/>
              <w:right w:val="single" w:color="auto" w:sz="4" w:space="0"/>
            </w:tcBorders>
            <w:noWrap w:val="0"/>
            <w:vAlign w:val="center"/>
          </w:tcPr>
          <w:p w14:paraId="7ED68B5F">
            <w:pPr>
              <w:spacing w:line="360" w:lineRule="auto"/>
              <w:jc w:val="center"/>
              <w:rPr>
                <w:rFonts w:hint="eastAsia" w:ascii="仿宋_GB2312" w:hAnsi="仿宋_GB2312" w:eastAsia="仿宋_GB2312" w:cs="仿宋_GB2312"/>
                <w:color w:val="auto"/>
                <w:sz w:val="24"/>
                <w:szCs w:val="24"/>
                <w:highlight w:val="none"/>
              </w:rPr>
            </w:pPr>
          </w:p>
        </w:tc>
        <w:tc>
          <w:tcPr>
            <w:tcW w:w="1456" w:type="pct"/>
            <w:vMerge w:val="continue"/>
            <w:tcBorders>
              <w:left w:val="single" w:color="auto" w:sz="4" w:space="0"/>
              <w:bottom w:val="single" w:color="auto" w:sz="4" w:space="0"/>
              <w:right w:val="single" w:color="auto" w:sz="4" w:space="0"/>
            </w:tcBorders>
            <w:noWrap w:val="0"/>
            <w:vAlign w:val="center"/>
          </w:tcPr>
          <w:p w14:paraId="42C20E29">
            <w:pPr>
              <w:spacing w:line="360" w:lineRule="auto"/>
              <w:jc w:val="center"/>
              <w:rPr>
                <w:rFonts w:hint="eastAsia" w:ascii="仿宋_GB2312" w:hAnsi="仿宋_GB2312" w:eastAsia="仿宋_GB2312" w:cs="仿宋_GB2312"/>
                <w:color w:val="auto"/>
                <w:sz w:val="24"/>
                <w:szCs w:val="24"/>
                <w:highlight w:val="none"/>
              </w:rPr>
            </w:pPr>
          </w:p>
        </w:tc>
      </w:tr>
      <w:tr w14:paraId="5514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422" w:type="pct"/>
            <w:tcBorders>
              <w:left w:val="single" w:color="auto" w:sz="4" w:space="0"/>
              <w:right w:val="single" w:color="auto" w:sz="4" w:space="0"/>
            </w:tcBorders>
            <w:noWrap w:val="0"/>
            <w:vAlign w:val="center"/>
          </w:tcPr>
          <w:p w14:paraId="198E4D37">
            <w:pPr>
              <w:numPr>
                <w:ilvl w:val="0"/>
                <w:numId w:val="0"/>
              </w:num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w:t>
            </w:r>
          </w:p>
        </w:tc>
        <w:tc>
          <w:tcPr>
            <w:tcW w:w="673" w:type="pct"/>
            <w:tcBorders>
              <w:left w:val="single" w:color="auto" w:sz="4" w:space="0"/>
              <w:right w:val="single" w:color="auto" w:sz="4" w:space="0"/>
            </w:tcBorders>
            <w:noWrap w:val="0"/>
            <w:vAlign w:val="center"/>
          </w:tcPr>
          <w:p w14:paraId="41B3A145">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可变</w:t>
            </w:r>
            <w:r>
              <w:rPr>
                <w:rFonts w:hint="eastAsia" w:ascii="仿宋_GB2312" w:hAnsi="仿宋_GB2312" w:eastAsia="仿宋_GB2312" w:cs="仿宋_GB2312"/>
                <w:color w:val="auto"/>
                <w:sz w:val="24"/>
                <w:szCs w:val="24"/>
                <w:highlight w:val="none"/>
              </w:rPr>
              <w:t>工作量服务</w:t>
            </w:r>
          </w:p>
        </w:tc>
        <w:tc>
          <w:tcPr>
            <w:tcW w:w="1293" w:type="pct"/>
            <w:tcBorders>
              <w:left w:val="single" w:color="auto" w:sz="4" w:space="0"/>
              <w:right w:val="single" w:color="auto" w:sz="4" w:space="0"/>
            </w:tcBorders>
            <w:noWrap w:val="0"/>
            <w:vAlign w:val="center"/>
          </w:tcPr>
          <w:p w14:paraId="3A09C545">
            <w:pPr>
              <w:spacing w:line="360" w:lineRule="auto"/>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自合同签署后至项目维保期结束。</w:t>
            </w:r>
          </w:p>
          <w:p w14:paraId="06345B6B">
            <w:pPr>
              <w:spacing w:line="360" w:lineRule="auto"/>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合同签署后</w:t>
            </w:r>
            <w:r>
              <w:rPr>
                <w:rFonts w:hint="eastAsia" w:ascii="仿宋_GB2312" w:hAnsi="仿宋_GB2312" w:eastAsia="仿宋_GB2312" w:cs="仿宋_GB2312"/>
                <w:b w:val="0"/>
                <w:bCs/>
                <w:color w:val="auto"/>
                <w:kern w:val="2"/>
                <w:sz w:val="24"/>
                <w:szCs w:val="24"/>
                <w:highlight w:val="none"/>
                <w:lang w:val="en-US" w:eastAsia="zh-CN" w:bidi="ar-SA"/>
              </w:rPr>
              <w:t>与普惠系统建设一并</w:t>
            </w:r>
            <w:r>
              <w:rPr>
                <w:rFonts w:hint="eastAsia" w:ascii="仿宋_GB2312" w:hAnsi="仿宋_GB2312" w:eastAsia="仿宋_GB2312" w:cs="仿宋_GB2312"/>
                <w:color w:val="auto"/>
                <w:sz w:val="24"/>
                <w:szCs w:val="24"/>
                <w:highlight w:val="none"/>
                <w:lang w:val="en-US" w:eastAsia="zh-CN"/>
              </w:rPr>
              <w:t>完成投产上线，并力争提前。上线后3个月为重保期，重保期结束后需提供1年的免费维保服务。）</w:t>
            </w:r>
          </w:p>
        </w:tc>
        <w:tc>
          <w:tcPr>
            <w:tcW w:w="1154" w:type="pct"/>
            <w:tcBorders>
              <w:left w:val="single" w:color="auto" w:sz="4" w:space="0"/>
              <w:right w:val="single" w:color="auto" w:sz="4" w:space="0"/>
            </w:tcBorders>
            <w:noWrap w:val="0"/>
            <w:vAlign w:val="center"/>
          </w:tcPr>
          <w:p w14:paraId="032955CA">
            <w:pPr>
              <w:widowControl w:val="0"/>
              <w:spacing w:line="360" w:lineRule="auto"/>
              <w:ind w:firstLine="0"/>
              <w:jc w:val="center"/>
              <w:rPr>
                <w:rFonts w:hint="default" w:ascii="Times New Roman" w:hAnsi="Times New Roman" w:eastAsia="宋体" w:cs="Times New Roman"/>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200人月</w:t>
            </w:r>
          </w:p>
        </w:tc>
        <w:tc>
          <w:tcPr>
            <w:tcW w:w="1456" w:type="pct"/>
            <w:tcBorders>
              <w:left w:val="single" w:color="auto" w:sz="4" w:space="0"/>
              <w:right w:val="single" w:color="auto" w:sz="4" w:space="0"/>
            </w:tcBorders>
            <w:noWrap w:val="0"/>
            <w:vAlign w:val="center"/>
          </w:tcPr>
          <w:p w14:paraId="4A0C3058">
            <w:pPr>
              <w:spacing w:line="360" w:lineRule="auto"/>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以订单的方式向供应商下单，完成采购人普惠金融业务全流程涉及的相关系统功能的改造开发、测试及上线，包括但不限于需求范围内的架构分析、需求分析、开发实施、测试、投产、运行维护等内容。</w:t>
            </w:r>
          </w:p>
        </w:tc>
      </w:tr>
    </w:tbl>
    <w:p w14:paraId="0F39C251">
      <w:pPr>
        <w:widowControl w:val="0"/>
        <w:spacing w:line="360" w:lineRule="auto"/>
        <w:ind w:firstLine="420"/>
        <w:jc w:val="both"/>
        <w:rPr>
          <w:rFonts w:hint="eastAsia" w:ascii="Times New Roman" w:hAnsi="Times New Roman" w:eastAsia="宋体" w:cs="Times New Roman"/>
          <w:color w:val="auto"/>
          <w:kern w:val="2"/>
          <w:sz w:val="24"/>
          <w:szCs w:val="24"/>
          <w:highlight w:val="none"/>
          <w:lang w:val="en-US" w:eastAsia="zh-CN" w:bidi="ar-SA"/>
        </w:rPr>
      </w:pPr>
    </w:p>
    <w:tbl>
      <w:tblPr>
        <w:tblStyle w:val="4"/>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322"/>
        <w:gridCol w:w="6445"/>
      </w:tblGrid>
      <w:tr w14:paraId="3DB2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jc w:val="center"/>
        </w:trPr>
        <w:tc>
          <w:tcPr>
            <w:tcW w:w="799" w:type="dxa"/>
            <w:vMerge w:val="restart"/>
            <w:tcBorders>
              <w:top w:val="single" w:color="auto" w:sz="4" w:space="0"/>
              <w:left w:val="single" w:color="auto" w:sz="4" w:space="0"/>
              <w:right w:val="single" w:color="auto" w:sz="4" w:space="0"/>
            </w:tcBorders>
            <w:noWrap w:val="0"/>
            <w:vAlign w:val="center"/>
          </w:tcPr>
          <w:p w14:paraId="1FBEFF85">
            <w:pPr>
              <w:keepNext w:val="0"/>
              <w:keepLines w:val="0"/>
              <w:pageBreakBefore w:val="0"/>
              <w:kinsoku/>
              <w:wordWrap/>
              <w:overflowPunct/>
              <w:topLinePunct w:val="0"/>
              <w:autoSpaceDE/>
              <w:autoSpaceDN/>
              <w:bidi w:val="0"/>
              <w:adjustRightInd/>
              <w:snapToGrid/>
              <w:spacing w:beforeLines="0" w:afterLines="0" w:line="360" w:lineRule="auto"/>
              <w:ind w:firstLine="0" w:firstLineChars="0"/>
              <w:jc w:val="center"/>
              <w:textAlignment w:val="auto"/>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rPr>
              <w:t>序号</w:t>
            </w:r>
          </w:p>
        </w:tc>
        <w:tc>
          <w:tcPr>
            <w:tcW w:w="1322" w:type="dxa"/>
            <w:vMerge w:val="restart"/>
            <w:tcBorders>
              <w:top w:val="single" w:color="auto" w:sz="4" w:space="0"/>
              <w:left w:val="single" w:color="auto" w:sz="4" w:space="0"/>
              <w:right w:val="single" w:color="auto" w:sz="4" w:space="0"/>
            </w:tcBorders>
            <w:noWrap w:val="0"/>
            <w:vAlign w:val="center"/>
          </w:tcPr>
          <w:p w14:paraId="71A8CFF0">
            <w:pPr>
              <w:keepNext w:val="0"/>
              <w:keepLines w:val="0"/>
              <w:pageBreakBefore w:val="0"/>
              <w:kinsoku/>
              <w:wordWrap/>
              <w:overflowPunct/>
              <w:topLinePunct w:val="0"/>
              <w:autoSpaceDE/>
              <w:autoSpaceDN/>
              <w:bidi w:val="0"/>
              <w:adjustRightInd/>
              <w:snapToGrid/>
              <w:spacing w:beforeLines="0" w:afterLines="0" w:line="360" w:lineRule="auto"/>
              <w:ind w:firstLine="0" w:firstLineChars="0"/>
              <w:jc w:val="center"/>
              <w:textAlignment w:val="auto"/>
              <w:rPr>
                <w:rFonts w:hint="eastAsia" w:ascii="黑体" w:hAnsi="黑体" w:eastAsia="黑体" w:cs="黑体"/>
                <w:b/>
                <w:bCs/>
                <w:color w:val="auto"/>
                <w:sz w:val="24"/>
                <w:szCs w:val="24"/>
                <w:highlight w:val="none"/>
                <w:lang w:eastAsia="zh-CN"/>
              </w:rPr>
            </w:pPr>
            <w:r>
              <w:rPr>
                <w:rFonts w:hint="eastAsia" w:ascii="黑体" w:hAnsi="黑体" w:eastAsia="黑体" w:cs="黑体"/>
                <w:b/>
                <w:bCs/>
                <w:color w:val="auto"/>
                <w:sz w:val="24"/>
                <w:szCs w:val="24"/>
                <w:highlight w:val="none"/>
              </w:rPr>
              <w:t>服务</w:t>
            </w:r>
            <w:r>
              <w:rPr>
                <w:rFonts w:hint="eastAsia" w:ascii="黑体" w:hAnsi="黑体" w:eastAsia="黑体" w:cs="黑体"/>
                <w:b/>
                <w:bCs/>
                <w:color w:val="auto"/>
                <w:sz w:val="24"/>
                <w:szCs w:val="24"/>
                <w:highlight w:val="none"/>
                <w:lang w:val="en-US" w:eastAsia="zh-CN"/>
              </w:rPr>
              <w:t>内容</w:t>
            </w:r>
          </w:p>
        </w:tc>
        <w:tc>
          <w:tcPr>
            <w:tcW w:w="6445" w:type="dxa"/>
            <w:vMerge w:val="restart"/>
            <w:tcBorders>
              <w:top w:val="single" w:color="auto" w:sz="4" w:space="0"/>
              <w:left w:val="single" w:color="auto" w:sz="4" w:space="0"/>
              <w:right w:val="single" w:color="auto" w:sz="4" w:space="0"/>
            </w:tcBorders>
            <w:noWrap w:val="0"/>
            <w:vAlign w:val="center"/>
          </w:tcPr>
          <w:p w14:paraId="337F5B33">
            <w:pPr>
              <w:keepNext w:val="0"/>
              <w:keepLines w:val="0"/>
              <w:pageBreakBefore w:val="0"/>
              <w:kinsoku/>
              <w:wordWrap/>
              <w:overflowPunct/>
              <w:topLinePunct w:val="0"/>
              <w:autoSpaceDE/>
              <w:autoSpaceDN/>
              <w:bidi w:val="0"/>
              <w:adjustRightInd/>
              <w:snapToGrid/>
              <w:spacing w:beforeLines="0" w:afterLines="0" w:line="360" w:lineRule="auto"/>
              <w:ind w:firstLine="0" w:firstLineChars="0"/>
              <w:jc w:val="center"/>
              <w:textAlignment w:val="auto"/>
              <w:rPr>
                <w:rFonts w:hint="default" w:ascii="黑体" w:hAnsi="黑体" w:eastAsia="黑体" w:cs="黑体"/>
                <w:b/>
                <w:bCs/>
                <w:color w:val="auto"/>
                <w:sz w:val="24"/>
                <w:szCs w:val="24"/>
                <w:highlight w:val="none"/>
              </w:rPr>
            </w:pPr>
            <w:r>
              <w:rPr>
                <w:rFonts w:hint="default" w:ascii="黑体" w:hAnsi="黑体" w:eastAsia="黑体" w:cs="黑体"/>
                <w:b/>
                <w:bCs/>
                <w:color w:val="auto"/>
                <w:sz w:val="24"/>
                <w:szCs w:val="24"/>
                <w:highlight w:val="none"/>
                <w:lang w:eastAsia="zh-CN"/>
              </w:rPr>
              <w:t>主要</w:t>
            </w:r>
            <w:r>
              <w:rPr>
                <w:rFonts w:hint="eastAsia" w:ascii="黑体" w:hAnsi="黑体" w:eastAsia="黑体" w:cs="黑体"/>
                <w:b/>
                <w:bCs/>
                <w:color w:val="auto"/>
                <w:sz w:val="24"/>
                <w:szCs w:val="24"/>
                <w:highlight w:val="none"/>
                <w:lang w:val="en-US" w:eastAsia="zh-CN"/>
              </w:rPr>
              <w:t>工作</w:t>
            </w:r>
          </w:p>
        </w:tc>
      </w:tr>
      <w:tr w14:paraId="622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9" w:type="dxa"/>
            <w:vMerge w:val="continue"/>
            <w:tcBorders>
              <w:left w:val="single" w:color="auto" w:sz="4" w:space="0"/>
              <w:bottom w:val="single" w:color="auto" w:sz="4" w:space="0"/>
              <w:right w:val="single" w:color="auto" w:sz="4" w:space="0"/>
            </w:tcBorders>
            <w:noWrap w:val="0"/>
            <w:vAlign w:val="top"/>
          </w:tcPr>
          <w:p w14:paraId="6C5928E3">
            <w:pPr>
              <w:keepNext w:val="0"/>
              <w:keepLines w:val="0"/>
              <w:pageBreakBefore w:val="0"/>
              <w:kinsoku/>
              <w:wordWrap/>
              <w:overflowPunct/>
              <w:topLinePunct w:val="0"/>
              <w:autoSpaceDE/>
              <w:autoSpaceDN/>
              <w:bidi w:val="0"/>
              <w:adjustRightInd/>
              <w:snapToGrid/>
              <w:spacing w:beforeLines="0" w:afterLines="0" w:line="360" w:lineRule="auto"/>
              <w:ind w:firstLine="480" w:firstLineChars="200"/>
              <w:jc w:val="center"/>
              <w:textAlignment w:val="auto"/>
              <w:rPr>
                <w:rFonts w:ascii="Times New Roman" w:hAnsi="Times New Roman" w:eastAsia="仿宋_GB2312" w:cs="Times New Roman"/>
                <w:color w:val="auto"/>
                <w:sz w:val="24"/>
                <w:szCs w:val="24"/>
                <w:highlight w:val="none"/>
              </w:rPr>
            </w:pPr>
          </w:p>
        </w:tc>
        <w:tc>
          <w:tcPr>
            <w:tcW w:w="1322" w:type="dxa"/>
            <w:vMerge w:val="continue"/>
            <w:tcBorders>
              <w:left w:val="single" w:color="auto" w:sz="4" w:space="0"/>
              <w:bottom w:val="single" w:color="auto" w:sz="4" w:space="0"/>
              <w:right w:val="single" w:color="auto" w:sz="4" w:space="0"/>
            </w:tcBorders>
            <w:noWrap w:val="0"/>
            <w:vAlign w:val="top"/>
          </w:tcPr>
          <w:p w14:paraId="081D7485">
            <w:pPr>
              <w:keepNext w:val="0"/>
              <w:keepLines w:val="0"/>
              <w:pageBreakBefore w:val="0"/>
              <w:kinsoku/>
              <w:wordWrap/>
              <w:overflowPunct/>
              <w:topLinePunct w:val="0"/>
              <w:autoSpaceDE/>
              <w:autoSpaceDN/>
              <w:bidi w:val="0"/>
              <w:adjustRightInd/>
              <w:snapToGrid/>
              <w:spacing w:beforeLines="0" w:afterLines="0" w:line="360" w:lineRule="auto"/>
              <w:ind w:firstLine="480" w:firstLineChars="200"/>
              <w:jc w:val="center"/>
              <w:textAlignment w:val="auto"/>
              <w:rPr>
                <w:rFonts w:ascii="Times New Roman" w:hAnsi="Times New Roman" w:eastAsia="仿宋_GB2312" w:cs="Times New Roman"/>
                <w:color w:val="auto"/>
                <w:sz w:val="24"/>
                <w:szCs w:val="24"/>
                <w:highlight w:val="none"/>
              </w:rPr>
            </w:pPr>
          </w:p>
        </w:tc>
        <w:tc>
          <w:tcPr>
            <w:tcW w:w="6445" w:type="dxa"/>
            <w:vMerge w:val="continue"/>
            <w:tcBorders>
              <w:left w:val="single" w:color="auto" w:sz="4" w:space="0"/>
              <w:bottom w:val="single" w:color="auto" w:sz="4" w:space="0"/>
              <w:right w:val="single" w:color="auto" w:sz="4" w:space="0"/>
            </w:tcBorders>
            <w:noWrap w:val="0"/>
            <w:vAlign w:val="top"/>
          </w:tcPr>
          <w:p w14:paraId="0304847A">
            <w:pPr>
              <w:keepNext w:val="0"/>
              <w:keepLines w:val="0"/>
              <w:pageBreakBefore w:val="0"/>
              <w:kinsoku/>
              <w:wordWrap/>
              <w:overflowPunct/>
              <w:topLinePunct w:val="0"/>
              <w:autoSpaceDE/>
              <w:autoSpaceDN/>
              <w:bidi w:val="0"/>
              <w:adjustRightInd/>
              <w:snapToGrid/>
              <w:spacing w:beforeLines="0" w:afterLines="0" w:line="360" w:lineRule="auto"/>
              <w:ind w:firstLine="480" w:firstLineChars="200"/>
              <w:jc w:val="center"/>
              <w:textAlignment w:val="auto"/>
              <w:rPr>
                <w:rFonts w:ascii="Times New Roman" w:hAnsi="Times New Roman" w:eastAsia="仿宋_GB2312" w:cs="Times New Roman"/>
                <w:color w:val="auto"/>
                <w:sz w:val="24"/>
                <w:szCs w:val="24"/>
                <w:highlight w:val="none"/>
              </w:rPr>
            </w:pPr>
          </w:p>
        </w:tc>
      </w:tr>
      <w:tr w14:paraId="7D8A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799" w:type="dxa"/>
            <w:tcBorders>
              <w:top w:val="single" w:color="auto" w:sz="4" w:space="0"/>
              <w:left w:val="single" w:color="auto" w:sz="4" w:space="0"/>
              <w:right w:val="single" w:color="auto" w:sz="4" w:space="0"/>
            </w:tcBorders>
            <w:noWrap w:val="0"/>
            <w:vAlign w:val="center"/>
          </w:tcPr>
          <w:p w14:paraId="47093DB2">
            <w:pPr>
              <w:keepNext w:val="0"/>
              <w:keepLines w:val="0"/>
              <w:pageBreakBefore w:val="0"/>
              <w:numPr>
                <w:ilvl w:val="0"/>
                <w:numId w:val="4"/>
              </w:numPr>
              <w:tabs>
                <w:tab w:val="clear" w:pos="0"/>
              </w:tabs>
              <w:kinsoku/>
              <w:wordWrap/>
              <w:overflowPunct/>
              <w:topLinePunct w:val="0"/>
              <w:autoSpaceDE/>
              <w:autoSpaceDN/>
              <w:bidi w:val="0"/>
              <w:adjustRightInd/>
              <w:snapToGrid/>
              <w:spacing w:beforeLines="0" w:afterLines="0" w:line="360" w:lineRule="auto"/>
              <w:ind w:left="454" w:leftChars="0" w:hanging="454" w:firstLineChars="0"/>
              <w:jc w:val="center"/>
              <w:textAlignment w:val="auto"/>
              <w:rPr>
                <w:rFonts w:hint="default" w:ascii="Times New Roman" w:hAnsi="Times New Roman" w:eastAsia="仿宋_GB2312" w:cs="Times New Roman"/>
                <w:color w:val="auto"/>
                <w:sz w:val="24"/>
                <w:szCs w:val="24"/>
                <w:highlight w:val="none"/>
              </w:rPr>
            </w:pPr>
          </w:p>
        </w:tc>
        <w:tc>
          <w:tcPr>
            <w:tcW w:w="1322" w:type="dxa"/>
            <w:tcBorders>
              <w:top w:val="single" w:color="auto" w:sz="4" w:space="0"/>
              <w:left w:val="single" w:color="auto" w:sz="4" w:space="0"/>
              <w:right w:val="single" w:color="auto" w:sz="4" w:space="0"/>
            </w:tcBorders>
            <w:noWrap w:val="0"/>
            <w:vAlign w:val="center"/>
          </w:tcPr>
          <w:p w14:paraId="3138DD45">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项目管理</w:t>
            </w:r>
          </w:p>
        </w:tc>
        <w:tc>
          <w:tcPr>
            <w:tcW w:w="6445" w:type="dxa"/>
            <w:tcBorders>
              <w:top w:val="single" w:color="auto" w:sz="4" w:space="0"/>
              <w:left w:val="single" w:color="auto" w:sz="4" w:space="0"/>
              <w:right w:val="single" w:color="auto" w:sz="4" w:space="0"/>
            </w:tcBorders>
            <w:noWrap w:val="0"/>
            <w:vAlign w:val="center"/>
          </w:tcPr>
          <w:p w14:paraId="7064E606">
            <w:pPr>
              <w:widowControl/>
              <w:numPr>
                <w:ilvl w:val="0"/>
                <w:numId w:val="0"/>
              </w:numPr>
              <w:spacing w:after="0" w:line="360" w:lineRule="auto"/>
              <w:ind w:left="0" w:leftChars="0" w:firstLine="0" w:firstLineChars="0"/>
              <w:jc w:val="left"/>
              <w:rPr>
                <w:rFonts w:hint="default" w:ascii="仿宋_GB2312" w:hAnsi="仿宋_GB2312" w:eastAsia="仿宋_GB2312" w:cs="仿宋_GB2312"/>
                <w:color w:val="auto"/>
                <w:kern w:val="2"/>
                <w:sz w:val="24"/>
                <w:szCs w:val="24"/>
                <w:highlight w:val="none"/>
                <w:lang w:val="en-US" w:eastAsia="zh-CN" w:bidi="ar-SA"/>
              </w:rPr>
            </w:pPr>
            <w:r>
              <w:rPr>
                <w:rFonts w:hint="eastAsia" w:ascii="Times New Roman" w:hAnsi="楷体" w:eastAsia="仿宋_GB2312" w:cs="Times New Roman"/>
                <w:color w:val="auto"/>
                <w:kern w:val="2"/>
                <w:sz w:val="24"/>
                <w:szCs w:val="24"/>
                <w:highlight w:val="none"/>
                <w:lang w:val="en-US" w:eastAsia="zh-CN" w:bidi="ar-SA"/>
              </w:rPr>
              <w:t>配合采购人开展以下工作：</w:t>
            </w:r>
            <w:r>
              <w:rPr>
                <w:rFonts w:hint="default" w:ascii="Times New Roman" w:hAnsi="楷体" w:eastAsia="仿宋_GB2312" w:cs="Times New Roman"/>
                <w:color w:val="auto"/>
                <w:kern w:val="2"/>
                <w:sz w:val="24"/>
                <w:szCs w:val="24"/>
                <w:highlight w:val="none"/>
                <w:lang w:val="en-US" w:eastAsia="zh-CN" w:bidi="ar-SA"/>
              </w:rPr>
              <w:t>制定项目计划，监督和控制项目进度</w:t>
            </w:r>
            <w:r>
              <w:rPr>
                <w:rFonts w:hint="eastAsia" w:ascii="Times New Roman" w:hAnsi="楷体" w:eastAsia="仿宋_GB2312" w:cs="Times New Roman"/>
                <w:color w:val="auto"/>
                <w:kern w:val="2"/>
                <w:sz w:val="24"/>
                <w:szCs w:val="24"/>
                <w:highlight w:val="none"/>
                <w:lang w:val="en-US" w:eastAsia="zh-CN" w:bidi="ar-SA"/>
              </w:rPr>
              <w:t>；</w:t>
            </w:r>
            <w:r>
              <w:rPr>
                <w:rFonts w:hint="default" w:ascii="Times New Roman" w:hAnsi="楷体" w:eastAsia="仿宋_GB2312" w:cs="Times New Roman"/>
                <w:color w:val="auto"/>
                <w:kern w:val="2"/>
                <w:sz w:val="24"/>
                <w:szCs w:val="24"/>
                <w:highlight w:val="none"/>
                <w:lang w:val="en-US" w:eastAsia="zh-CN" w:bidi="ar-SA"/>
              </w:rPr>
              <w:t>负责管理安排项目资源</w:t>
            </w:r>
            <w:r>
              <w:rPr>
                <w:rFonts w:hint="eastAsia" w:ascii="Times New Roman" w:hAnsi="楷体" w:eastAsia="仿宋_GB2312" w:cs="Times New Roman"/>
                <w:color w:val="auto"/>
                <w:kern w:val="2"/>
                <w:sz w:val="24"/>
                <w:szCs w:val="24"/>
                <w:highlight w:val="none"/>
                <w:lang w:val="en-US" w:eastAsia="zh-CN" w:bidi="ar-SA"/>
              </w:rPr>
              <w:t>；开展</w:t>
            </w:r>
            <w:r>
              <w:rPr>
                <w:rFonts w:hint="default" w:ascii="Times New Roman" w:hAnsi="楷体" w:eastAsia="仿宋_GB2312" w:cs="Times New Roman"/>
                <w:color w:val="auto"/>
                <w:kern w:val="2"/>
                <w:sz w:val="24"/>
                <w:szCs w:val="24"/>
                <w:highlight w:val="none"/>
                <w:lang w:val="en-US" w:eastAsia="zh-CN" w:bidi="ar-SA"/>
              </w:rPr>
              <w:t>实施项目配置和交付管理以及项目质量管理</w:t>
            </w:r>
            <w:r>
              <w:rPr>
                <w:rFonts w:hint="eastAsia" w:ascii="Times New Roman" w:hAnsi="楷体" w:eastAsia="仿宋_GB2312" w:cs="Times New Roman"/>
                <w:color w:val="auto"/>
                <w:kern w:val="2"/>
                <w:sz w:val="24"/>
                <w:szCs w:val="24"/>
                <w:highlight w:val="none"/>
                <w:lang w:val="en-US" w:eastAsia="zh-CN" w:bidi="ar-SA"/>
              </w:rPr>
              <w:t>；开展</w:t>
            </w:r>
            <w:r>
              <w:rPr>
                <w:rFonts w:hint="default" w:ascii="Times New Roman" w:hAnsi="楷体" w:eastAsia="仿宋_GB2312" w:cs="Times New Roman"/>
                <w:color w:val="auto"/>
                <w:kern w:val="2"/>
                <w:sz w:val="24"/>
                <w:szCs w:val="24"/>
                <w:highlight w:val="none"/>
                <w:lang w:val="en-US" w:eastAsia="zh-CN" w:bidi="ar-SA"/>
              </w:rPr>
              <w:t>项目问题管理和项目风险管理</w:t>
            </w:r>
            <w:r>
              <w:rPr>
                <w:rFonts w:hint="eastAsia" w:ascii="Times New Roman" w:hAnsi="楷体" w:eastAsia="仿宋_GB2312" w:cs="Times New Roman"/>
                <w:color w:val="auto"/>
                <w:kern w:val="2"/>
                <w:sz w:val="24"/>
                <w:szCs w:val="24"/>
                <w:highlight w:val="none"/>
                <w:lang w:val="en-US" w:eastAsia="zh-CN" w:bidi="ar-SA"/>
              </w:rPr>
              <w:t>；</w:t>
            </w:r>
            <w:r>
              <w:rPr>
                <w:rFonts w:hint="default" w:ascii="Times New Roman" w:hAnsi="楷体" w:eastAsia="仿宋_GB2312" w:cs="Times New Roman"/>
                <w:color w:val="auto"/>
                <w:kern w:val="2"/>
                <w:sz w:val="24"/>
                <w:szCs w:val="24"/>
                <w:highlight w:val="none"/>
                <w:lang w:val="en-US" w:eastAsia="zh-CN" w:bidi="ar-SA"/>
              </w:rPr>
              <w:t>按照要求</w:t>
            </w:r>
            <w:r>
              <w:rPr>
                <w:rFonts w:hint="eastAsia" w:ascii="Times New Roman" w:hAnsi="楷体" w:eastAsia="仿宋_GB2312" w:cs="Times New Roman"/>
                <w:color w:val="auto"/>
                <w:kern w:val="2"/>
                <w:sz w:val="24"/>
                <w:szCs w:val="24"/>
                <w:highlight w:val="none"/>
                <w:lang w:val="en-US" w:eastAsia="zh-CN" w:bidi="ar-SA"/>
              </w:rPr>
              <w:t>定期</w:t>
            </w:r>
            <w:r>
              <w:rPr>
                <w:rFonts w:hint="default" w:ascii="Times New Roman" w:hAnsi="楷体" w:eastAsia="仿宋_GB2312" w:cs="Times New Roman"/>
                <w:color w:val="auto"/>
                <w:kern w:val="2"/>
                <w:sz w:val="24"/>
                <w:szCs w:val="24"/>
                <w:highlight w:val="none"/>
                <w:lang w:val="en-US" w:eastAsia="zh-CN" w:bidi="ar-SA"/>
              </w:rPr>
              <w:t>进行工作报告</w:t>
            </w:r>
            <w:r>
              <w:rPr>
                <w:rFonts w:hint="eastAsia" w:ascii="Times New Roman" w:hAnsi="楷体" w:eastAsia="仿宋_GB2312" w:cs="Times New Roman"/>
                <w:color w:val="auto"/>
                <w:kern w:val="2"/>
                <w:sz w:val="24"/>
                <w:szCs w:val="24"/>
                <w:highlight w:val="none"/>
                <w:lang w:val="en-US" w:eastAsia="zh-CN" w:bidi="ar-SA"/>
              </w:rPr>
              <w:t>等</w:t>
            </w:r>
          </w:p>
        </w:tc>
      </w:tr>
      <w:tr w14:paraId="7459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799" w:type="dxa"/>
            <w:tcBorders>
              <w:left w:val="single" w:color="auto" w:sz="4" w:space="0"/>
              <w:bottom w:val="single" w:color="auto" w:sz="4" w:space="0"/>
              <w:right w:val="single" w:color="auto" w:sz="4" w:space="0"/>
            </w:tcBorders>
            <w:noWrap w:val="0"/>
            <w:vAlign w:val="center"/>
          </w:tcPr>
          <w:p w14:paraId="3B335498">
            <w:pPr>
              <w:keepNext w:val="0"/>
              <w:keepLines w:val="0"/>
              <w:pageBreakBefore w:val="0"/>
              <w:numPr>
                <w:ilvl w:val="0"/>
                <w:numId w:val="4"/>
              </w:numPr>
              <w:tabs>
                <w:tab w:val="clear" w:pos="0"/>
              </w:tabs>
              <w:kinsoku/>
              <w:wordWrap/>
              <w:overflowPunct/>
              <w:topLinePunct w:val="0"/>
              <w:autoSpaceDE/>
              <w:autoSpaceDN/>
              <w:bidi w:val="0"/>
              <w:adjustRightInd/>
              <w:snapToGrid/>
              <w:spacing w:beforeLines="0" w:afterLines="0" w:line="360" w:lineRule="auto"/>
              <w:ind w:left="454" w:leftChars="0" w:hanging="454" w:firstLineChars="0"/>
              <w:jc w:val="center"/>
              <w:textAlignment w:val="auto"/>
              <w:rPr>
                <w:rFonts w:hint="default" w:ascii="Times New Roman" w:hAnsi="Times New Roman" w:eastAsia="仿宋_GB2312" w:cs="Times New Roman"/>
                <w:color w:val="auto"/>
                <w:sz w:val="24"/>
                <w:szCs w:val="24"/>
                <w:highlight w:val="none"/>
              </w:rPr>
            </w:pPr>
          </w:p>
        </w:tc>
        <w:tc>
          <w:tcPr>
            <w:tcW w:w="1322" w:type="dxa"/>
            <w:tcBorders>
              <w:left w:val="single" w:color="auto" w:sz="4" w:space="0"/>
              <w:bottom w:val="single" w:color="auto" w:sz="4" w:space="0"/>
              <w:right w:val="single" w:color="auto" w:sz="4" w:space="0"/>
            </w:tcBorders>
            <w:noWrap w:val="0"/>
            <w:vAlign w:val="center"/>
          </w:tcPr>
          <w:p w14:paraId="5ECEDBB3">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center"/>
              <w:textAlignment w:val="auto"/>
              <w:rPr>
                <w:rFonts w:hint="default"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需求分析</w:t>
            </w:r>
          </w:p>
        </w:tc>
        <w:tc>
          <w:tcPr>
            <w:tcW w:w="6445" w:type="dxa"/>
            <w:tcBorders>
              <w:left w:val="single" w:color="auto" w:sz="4" w:space="0"/>
              <w:bottom w:val="single" w:color="auto" w:sz="4" w:space="0"/>
              <w:right w:val="single" w:color="auto" w:sz="4" w:space="0"/>
            </w:tcBorders>
            <w:noWrap w:val="0"/>
            <w:vAlign w:val="center"/>
          </w:tcPr>
          <w:p w14:paraId="1DA461E5">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both"/>
              <w:textAlignment w:val="auto"/>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eastAsia="zh-CN"/>
              </w:rPr>
              <w:t>根据</w:t>
            </w:r>
            <w:r>
              <w:rPr>
                <w:rFonts w:hint="eastAsia" w:ascii="仿宋_GB2312" w:hAnsi="仿宋_GB2312" w:eastAsia="仿宋_GB2312" w:cs="仿宋_GB2312"/>
                <w:color w:val="auto"/>
                <w:sz w:val="24"/>
                <w:szCs w:val="24"/>
                <w:highlight w:val="none"/>
                <w:lang w:val="en-US" w:eastAsia="zh-CN"/>
              </w:rPr>
              <w:t>业务要求，梳理转化为业务对系统功能性和非功能性等具体要求，形成需求规格说明书</w:t>
            </w:r>
          </w:p>
        </w:tc>
      </w:tr>
      <w:tr w14:paraId="43CB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799" w:type="dxa"/>
            <w:tcBorders>
              <w:left w:val="single" w:color="auto" w:sz="4" w:space="0"/>
              <w:bottom w:val="single" w:color="auto" w:sz="4" w:space="0"/>
              <w:right w:val="single" w:color="auto" w:sz="4" w:space="0"/>
            </w:tcBorders>
            <w:noWrap w:val="0"/>
            <w:vAlign w:val="center"/>
          </w:tcPr>
          <w:p w14:paraId="28093DB9">
            <w:pPr>
              <w:keepNext w:val="0"/>
              <w:keepLines w:val="0"/>
              <w:pageBreakBefore w:val="0"/>
              <w:numPr>
                <w:ilvl w:val="0"/>
                <w:numId w:val="4"/>
              </w:numPr>
              <w:tabs>
                <w:tab w:val="clear" w:pos="0"/>
              </w:tabs>
              <w:kinsoku/>
              <w:wordWrap/>
              <w:overflowPunct/>
              <w:topLinePunct w:val="0"/>
              <w:autoSpaceDE/>
              <w:autoSpaceDN/>
              <w:bidi w:val="0"/>
              <w:adjustRightInd/>
              <w:snapToGrid/>
              <w:spacing w:beforeLines="0" w:afterLines="0" w:line="360" w:lineRule="auto"/>
              <w:ind w:left="454" w:leftChars="0" w:hanging="454" w:firstLineChars="0"/>
              <w:jc w:val="center"/>
              <w:textAlignment w:val="auto"/>
              <w:rPr>
                <w:rFonts w:hint="default" w:ascii="Times New Roman" w:hAnsi="Times New Roman" w:eastAsia="仿宋_GB2312" w:cs="Times New Roman"/>
                <w:color w:val="auto"/>
                <w:sz w:val="24"/>
                <w:szCs w:val="24"/>
                <w:highlight w:val="none"/>
              </w:rPr>
            </w:pPr>
          </w:p>
        </w:tc>
        <w:tc>
          <w:tcPr>
            <w:tcW w:w="1322" w:type="dxa"/>
            <w:tcBorders>
              <w:left w:val="single" w:color="auto" w:sz="4" w:space="0"/>
              <w:bottom w:val="single" w:color="auto" w:sz="4" w:space="0"/>
              <w:right w:val="single" w:color="auto" w:sz="4" w:space="0"/>
            </w:tcBorders>
            <w:noWrap w:val="0"/>
            <w:vAlign w:val="center"/>
          </w:tcPr>
          <w:p w14:paraId="2F3A3DA8">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center"/>
              <w:textAlignment w:val="auto"/>
              <w:rPr>
                <w:rFonts w:hint="eastAsia"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eastAsia="zh-CN"/>
              </w:rPr>
              <w:t>设</w:t>
            </w:r>
            <w:r>
              <w:rPr>
                <w:rFonts w:hint="eastAsia" w:ascii="仿宋_GB2312" w:hAnsi="仿宋_GB2312" w:eastAsia="仿宋_GB2312" w:cs="仿宋_GB2312"/>
                <w:color w:val="auto"/>
                <w:sz w:val="24"/>
                <w:szCs w:val="24"/>
                <w:highlight w:val="none"/>
                <w:lang w:val="en-US" w:eastAsia="zh-CN"/>
              </w:rPr>
              <w:t xml:space="preserve">  </w:t>
            </w:r>
            <w:r>
              <w:rPr>
                <w:rFonts w:hint="default" w:ascii="仿宋_GB2312" w:hAnsi="仿宋_GB2312" w:eastAsia="仿宋_GB2312" w:cs="仿宋_GB2312"/>
                <w:color w:val="auto"/>
                <w:sz w:val="24"/>
                <w:szCs w:val="24"/>
                <w:highlight w:val="none"/>
                <w:lang w:eastAsia="zh-CN"/>
              </w:rPr>
              <w:t>计</w:t>
            </w:r>
          </w:p>
        </w:tc>
        <w:tc>
          <w:tcPr>
            <w:tcW w:w="6445" w:type="dxa"/>
            <w:tcBorders>
              <w:left w:val="single" w:color="auto" w:sz="4" w:space="0"/>
              <w:bottom w:val="single" w:color="auto" w:sz="4" w:space="0"/>
              <w:right w:val="single" w:color="auto" w:sz="4" w:space="0"/>
            </w:tcBorders>
            <w:noWrap w:val="0"/>
            <w:vAlign w:val="center"/>
          </w:tcPr>
          <w:p w14:paraId="67B7B9F6">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编写项目架构方案说明书，并在项目实施前按照采购人要求开展评审。</w:t>
            </w:r>
            <w:r>
              <w:rPr>
                <w:rFonts w:hint="default" w:ascii="仿宋_GB2312" w:hAnsi="仿宋_GB2312" w:eastAsia="仿宋_GB2312" w:cs="仿宋_GB2312"/>
                <w:color w:val="auto"/>
                <w:sz w:val="24"/>
                <w:szCs w:val="24"/>
                <w:highlight w:val="none"/>
                <w:lang w:eastAsia="zh-CN"/>
              </w:rPr>
              <w:t>完成</w:t>
            </w:r>
            <w:r>
              <w:rPr>
                <w:rFonts w:hint="eastAsia" w:ascii="仿宋_GB2312" w:hAnsi="仿宋_GB2312" w:eastAsia="仿宋_GB2312" w:cs="仿宋_GB2312"/>
                <w:color w:val="auto"/>
                <w:sz w:val="24"/>
                <w:szCs w:val="24"/>
                <w:highlight w:val="none"/>
                <w:lang w:val="en-US" w:eastAsia="zh-CN"/>
              </w:rPr>
              <w:t>相关</w:t>
            </w:r>
            <w:r>
              <w:rPr>
                <w:rFonts w:hint="default" w:ascii="仿宋_GB2312" w:hAnsi="仿宋_GB2312" w:eastAsia="仿宋_GB2312" w:cs="仿宋_GB2312"/>
                <w:color w:val="auto"/>
                <w:sz w:val="24"/>
                <w:szCs w:val="24"/>
                <w:highlight w:val="none"/>
                <w:lang w:eastAsia="zh-CN"/>
              </w:rPr>
              <w:t>物理子系统的概要设计、详细设计等相关工作，形成相应</w:t>
            </w:r>
            <w:r>
              <w:rPr>
                <w:rFonts w:hint="eastAsia" w:ascii="仿宋_GB2312" w:hAnsi="仿宋_GB2312" w:eastAsia="仿宋_GB2312" w:cs="仿宋_GB2312"/>
                <w:color w:val="auto"/>
                <w:sz w:val="24"/>
                <w:szCs w:val="24"/>
                <w:highlight w:val="none"/>
                <w:lang w:val="en-US" w:eastAsia="zh-CN"/>
              </w:rPr>
              <w:t>设计</w:t>
            </w:r>
            <w:r>
              <w:rPr>
                <w:rFonts w:hint="default" w:ascii="仿宋_GB2312" w:hAnsi="仿宋_GB2312" w:eastAsia="仿宋_GB2312" w:cs="仿宋_GB2312"/>
                <w:color w:val="auto"/>
                <w:sz w:val="24"/>
                <w:szCs w:val="24"/>
                <w:highlight w:val="none"/>
                <w:lang w:eastAsia="zh-CN"/>
              </w:rPr>
              <w:t>说明书</w:t>
            </w:r>
          </w:p>
        </w:tc>
      </w:tr>
      <w:tr w14:paraId="394B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99" w:type="dxa"/>
            <w:tcBorders>
              <w:top w:val="single" w:color="auto" w:sz="4" w:space="0"/>
              <w:left w:val="single" w:color="auto" w:sz="4" w:space="0"/>
              <w:right w:val="single" w:color="auto" w:sz="4" w:space="0"/>
            </w:tcBorders>
            <w:noWrap w:val="0"/>
            <w:vAlign w:val="center"/>
          </w:tcPr>
          <w:p w14:paraId="6411AA6C">
            <w:pPr>
              <w:keepNext w:val="0"/>
              <w:keepLines w:val="0"/>
              <w:pageBreakBefore w:val="0"/>
              <w:numPr>
                <w:ilvl w:val="0"/>
                <w:numId w:val="4"/>
              </w:numPr>
              <w:tabs>
                <w:tab w:val="clear" w:pos="0"/>
              </w:tabs>
              <w:kinsoku/>
              <w:wordWrap/>
              <w:overflowPunct/>
              <w:topLinePunct w:val="0"/>
              <w:autoSpaceDE/>
              <w:autoSpaceDN/>
              <w:bidi w:val="0"/>
              <w:adjustRightInd/>
              <w:snapToGrid/>
              <w:spacing w:beforeLines="0" w:afterLines="0" w:line="360" w:lineRule="auto"/>
              <w:ind w:left="454" w:leftChars="0" w:hanging="454" w:firstLineChars="0"/>
              <w:jc w:val="center"/>
              <w:textAlignment w:val="auto"/>
              <w:rPr>
                <w:rFonts w:hint="default" w:ascii="Times New Roman" w:hAnsi="Times New Roman" w:eastAsia="仿宋_GB2312" w:cs="Times New Roman"/>
                <w:color w:val="auto"/>
                <w:sz w:val="24"/>
                <w:szCs w:val="24"/>
                <w:highlight w:val="none"/>
              </w:rPr>
            </w:pPr>
          </w:p>
        </w:tc>
        <w:tc>
          <w:tcPr>
            <w:tcW w:w="1322" w:type="dxa"/>
            <w:tcBorders>
              <w:top w:val="single" w:color="auto" w:sz="4" w:space="0"/>
              <w:left w:val="single" w:color="auto" w:sz="4" w:space="0"/>
              <w:right w:val="single" w:color="auto" w:sz="4" w:space="0"/>
            </w:tcBorders>
            <w:noWrap w:val="0"/>
            <w:vAlign w:val="center"/>
          </w:tcPr>
          <w:p w14:paraId="0B3FD731">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开  发</w:t>
            </w:r>
          </w:p>
        </w:tc>
        <w:tc>
          <w:tcPr>
            <w:tcW w:w="6445" w:type="dxa"/>
            <w:tcBorders>
              <w:top w:val="single" w:color="auto" w:sz="4" w:space="0"/>
              <w:left w:val="single" w:color="auto" w:sz="4" w:space="0"/>
              <w:right w:val="single" w:color="auto" w:sz="4" w:space="0"/>
            </w:tcBorders>
            <w:noWrap w:val="0"/>
            <w:vAlign w:val="center"/>
          </w:tcPr>
          <w:p w14:paraId="04499C03">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根据功能设计按计划完成开发，实现设计功能</w:t>
            </w:r>
            <w:r>
              <w:rPr>
                <w:rFonts w:hint="default"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完成单元测试等工作</w:t>
            </w:r>
          </w:p>
        </w:tc>
      </w:tr>
      <w:tr w14:paraId="39C4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99" w:type="dxa"/>
            <w:tcBorders>
              <w:top w:val="single" w:color="auto" w:sz="4" w:space="0"/>
              <w:left w:val="single" w:color="auto" w:sz="4" w:space="0"/>
              <w:right w:val="single" w:color="auto" w:sz="4" w:space="0"/>
            </w:tcBorders>
            <w:noWrap w:val="0"/>
            <w:vAlign w:val="center"/>
          </w:tcPr>
          <w:p w14:paraId="0E0F43EF">
            <w:pPr>
              <w:keepNext w:val="0"/>
              <w:keepLines w:val="0"/>
              <w:pageBreakBefore w:val="0"/>
              <w:numPr>
                <w:ilvl w:val="0"/>
                <w:numId w:val="4"/>
              </w:numPr>
              <w:tabs>
                <w:tab w:val="clear" w:pos="0"/>
              </w:tabs>
              <w:kinsoku/>
              <w:wordWrap/>
              <w:overflowPunct/>
              <w:topLinePunct w:val="0"/>
              <w:autoSpaceDE/>
              <w:autoSpaceDN/>
              <w:bidi w:val="0"/>
              <w:adjustRightInd/>
              <w:snapToGrid/>
              <w:spacing w:beforeLines="0" w:afterLines="0" w:line="360" w:lineRule="auto"/>
              <w:ind w:left="454" w:leftChars="0" w:hanging="454" w:firstLineChars="0"/>
              <w:jc w:val="center"/>
              <w:textAlignment w:val="auto"/>
              <w:rPr>
                <w:rFonts w:hint="default" w:ascii="Times New Roman" w:hAnsi="Times New Roman" w:eastAsia="仿宋_GB2312" w:cs="Times New Roman"/>
                <w:color w:val="auto"/>
                <w:sz w:val="24"/>
                <w:szCs w:val="24"/>
                <w:highlight w:val="none"/>
              </w:rPr>
            </w:pPr>
          </w:p>
        </w:tc>
        <w:tc>
          <w:tcPr>
            <w:tcW w:w="1322" w:type="dxa"/>
            <w:tcBorders>
              <w:top w:val="single" w:color="auto" w:sz="4" w:space="0"/>
              <w:left w:val="single" w:color="auto" w:sz="4" w:space="0"/>
              <w:right w:val="single" w:color="auto" w:sz="4" w:space="0"/>
            </w:tcBorders>
            <w:noWrap w:val="0"/>
            <w:vAlign w:val="center"/>
          </w:tcPr>
          <w:p w14:paraId="70413718">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测  试</w:t>
            </w:r>
          </w:p>
        </w:tc>
        <w:tc>
          <w:tcPr>
            <w:tcW w:w="6445" w:type="dxa"/>
            <w:tcBorders>
              <w:top w:val="single" w:color="auto" w:sz="4" w:space="0"/>
              <w:left w:val="single" w:color="auto" w:sz="4" w:space="0"/>
              <w:right w:val="single" w:color="auto" w:sz="4" w:space="0"/>
            </w:tcBorders>
            <w:noWrap w:val="0"/>
            <w:vAlign w:val="center"/>
          </w:tcPr>
          <w:p w14:paraId="39DA73D0">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开展产品、系统集成等测试工作，包括测试计划、准备和执行，完成测试案例、脚本及数据的编制和准备，及时组织系统修补和必要的回归测试，形成测试报告；协助开展用户验收测试相关工作</w:t>
            </w:r>
          </w:p>
        </w:tc>
      </w:tr>
      <w:tr w14:paraId="55A1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99" w:type="dxa"/>
            <w:tcBorders>
              <w:top w:val="single" w:color="auto" w:sz="4" w:space="0"/>
              <w:left w:val="single" w:color="auto" w:sz="4" w:space="0"/>
              <w:right w:val="single" w:color="auto" w:sz="4" w:space="0"/>
            </w:tcBorders>
            <w:noWrap w:val="0"/>
            <w:vAlign w:val="center"/>
          </w:tcPr>
          <w:p w14:paraId="649BEC9C">
            <w:pPr>
              <w:keepNext w:val="0"/>
              <w:keepLines w:val="0"/>
              <w:pageBreakBefore w:val="0"/>
              <w:numPr>
                <w:ilvl w:val="0"/>
                <w:numId w:val="4"/>
              </w:numPr>
              <w:tabs>
                <w:tab w:val="clear" w:pos="0"/>
              </w:tabs>
              <w:kinsoku/>
              <w:wordWrap/>
              <w:overflowPunct/>
              <w:topLinePunct w:val="0"/>
              <w:autoSpaceDE/>
              <w:autoSpaceDN/>
              <w:bidi w:val="0"/>
              <w:adjustRightInd/>
              <w:snapToGrid/>
              <w:spacing w:beforeLines="0" w:afterLines="0" w:line="360" w:lineRule="auto"/>
              <w:ind w:left="454" w:leftChars="0" w:hanging="454" w:firstLineChars="0"/>
              <w:jc w:val="center"/>
              <w:textAlignment w:val="auto"/>
              <w:rPr>
                <w:rFonts w:hint="default" w:ascii="Times New Roman" w:hAnsi="Times New Roman" w:eastAsia="仿宋_GB2312" w:cs="Times New Roman"/>
                <w:color w:val="auto"/>
                <w:sz w:val="24"/>
                <w:szCs w:val="24"/>
                <w:highlight w:val="none"/>
              </w:rPr>
            </w:pPr>
          </w:p>
        </w:tc>
        <w:tc>
          <w:tcPr>
            <w:tcW w:w="1322" w:type="dxa"/>
            <w:tcBorders>
              <w:top w:val="single" w:color="auto" w:sz="4" w:space="0"/>
              <w:left w:val="single" w:color="auto" w:sz="4" w:space="0"/>
              <w:right w:val="single" w:color="auto" w:sz="4" w:space="0"/>
            </w:tcBorders>
            <w:noWrap w:val="0"/>
            <w:vAlign w:val="center"/>
          </w:tcPr>
          <w:p w14:paraId="3E7FD109">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center"/>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投产支持</w:t>
            </w:r>
          </w:p>
        </w:tc>
        <w:tc>
          <w:tcPr>
            <w:tcW w:w="6445" w:type="dxa"/>
            <w:tcBorders>
              <w:top w:val="single" w:color="auto" w:sz="4" w:space="0"/>
              <w:left w:val="single" w:color="auto" w:sz="4" w:space="0"/>
              <w:right w:val="single" w:color="auto" w:sz="4" w:space="0"/>
            </w:tcBorders>
            <w:noWrap w:val="0"/>
            <w:vAlign w:val="center"/>
          </w:tcPr>
          <w:p w14:paraId="1FBB32A3">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both"/>
              <w:textAlignment w:val="auto"/>
              <w:rPr>
                <w:rFonts w:hint="default" w:ascii="仿宋_GB2312" w:hAnsi="仿宋_GB2312" w:eastAsia="宋体"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为系统投产演练和投产上线等提供必要支持，包括但不限于各类方案计划和流程策略的制定、现场人员支持及系统二级运维培训等工作</w:t>
            </w:r>
          </w:p>
        </w:tc>
      </w:tr>
      <w:tr w14:paraId="4451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99" w:type="dxa"/>
            <w:tcBorders>
              <w:top w:val="single" w:color="auto" w:sz="4" w:space="0"/>
              <w:left w:val="single" w:color="auto" w:sz="4" w:space="0"/>
              <w:right w:val="single" w:color="auto" w:sz="4" w:space="0"/>
            </w:tcBorders>
            <w:noWrap w:val="0"/>
            <w:vAlign w:val="center"/>
          </w:tcPr>
          <w:p w14:paraId="1DA539F0">
            <w:pPr>
              <w:keepNext w:val="0"/>
              <w:keepLines w:val="0"/>
              <w:pageBreakBefore w:val="0"/>
              <w:numPr>
                <w:ilvl w:val="0"/>
                <w:numId w:val="4"/>
              </w:numPr>
              <w:tabs>
                <w:tab w:val="clear" w:pos="0"/>
              </w:tabs>
              <w:kinsoku/>
              <w:wordWrap/>
              <w:overflowPunct/>
              <w:topLinePunct w:val="0"/>
              <w:autoSpaceDE/>
              <w:autoSpaceDN/>
              <w:bidi w:val="0"/>
              <w:adjustRightInd/>
              <w:snapToGrid/>
              <w:spacing w:beforeLines="0" w:afterLines="0" w:line="360" w:lineRule="auto"/>
              <w:ind w:left="454" w:leftChars="0" w:hanging="454" w:firstLineChars="0"/>
              <w:jc w:val="center"/>
              <w:textAlignment w:val="auto"/>
              <w:rPr>
                <w:rFonts w:hint="default" w:ascii="Times New Roman" w:hAnsi="Times New Roman" w:eastAsia="仿宋_GB2312" w:cs="Times New Roman"/>
                <w:color w:val="auto"/>
                <w:sz w:val="24"/>
                <w:szCs w:val="24"/>
                <w:highlight w:val="none"/>
              </w:rPr>
            </w:pPr>
          </w:p>
        </w:tc>
        <w:tc>
          <w:tcPr>
            <w:tcW w:w="1322" w:type="dxa"/>
            <w:tcBorders>
              <w:top w:val="single" w:color="auto" w:sz="4" w:space="0"/>
              <w:left w:val="single" w:color="auto" w:sz="4" w:space="0"/>
              <w:right w:val="single" w:color="auto" w:sz="4" w:space="0"/>
            </w:tcBorders>
            <w:noWrap w:val="0"/>
            <w:vAlign w:val="center"/>
          </w:tcPr>
          <w:p w14:paraId="20193F40">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系统二级运维</w:t>
            </w:r>
          </w:p>
        </w:tc>
        <w:tc>
          <w:tcPr>
            <w:tcW w:w="6445" w:type="dxa"/>
            <w:tcBorders>
              <w:top w:val="single" w:color="auto" w:sz="4" w:space="0"/>
              <w:left w:val="single" w:color="auto" w:sz="4" w:space="0"/>
              <w:right w:val="single" w:color="auto" w:sz="4" w:space="0"/>
            </w:tcBorders>
            <w:noWrap w:val="0"/>
            <w:vAlign w:val="center"/>
          </w:tcPr>
          <w:p w14:paraId="647680AE">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在本项目投产后至合同周期结束前，安排人员负责本项目开发、改造功能的日常系统二级运维工作。</w:t>
            </w:r>
          </w:p>
        </w:tc>
      </w:tr>
      <w:tr w14:paraId="4566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799" w:type="dxa"/>
            <w:tcBorders>
              <w:top w:val="single" w:color="auto" w:sz="4" w:space="0"/>
              <w:left w:val="single" w:color="auto" w:sz="4" w:space="0"/>
              <w:right w:val="single" w:color="auto" w:sz="4" w:space="0"/>
            </w:tcBorders>
            <w:noWrap w:val="0"/>
            <w:vAlign w:val="center"/>
          </w:tcPr>
          <w:p w14:paraId="00F3848B">
            <w:pPr>
              <w:keepNext w:val="0"/>
              <w:keepLines w:val="0"/>
              <w:pageBreakBefore w:val="0"/>
              <w:numPr>
                <w:ilvl w:val="0"/>
                <w:numId w:val="4"/>
              </w:numPr>
              <w:tabs>
                <w:tab w:val="clear" w:pos="0"/>
              </w:tabs>
              <w:kinsoku/>
              <w:wordWrap/>
              <w:overflowPunct/>
              <w:topLinePunct w:val="0"/>
              <w:autoSpaceDE/>
              <w:autoSpaceDN/>
              <w:bidi w:val="0"/>
              <w:adjustRightInd/>
              <w:snapToGrid/>
              <w:spacing w:beforeLines="0" w:afterLines="0" w:line="360" w:lineRule="auto"/>
              <w:ind w:left="454" w:leftChars="0" w:hanging="454" w:firstLineChars="0"/>
              <w:jc w:val="center"/>
              <w:textAlignment w:val="auto"/>
              <w:rPr>
                <w:rFonts w:hint="default" w:ascii="Times New Roman" w:hAnsi="Times New Roman" w:eastAsia="仿宋_GB2312" w:cs="Times New Roman"/>
                <w:color w:val="auto"/>
                <w:sz w:val="24"/>
                <w:szCs w:val="24"/>
                <w:highlight w:val="none"/>
              </w:rPr>
            </w:pPr>
          </w:p>
        </w:tc>
        <w:tc>
          <w:tcPr>
            <w:tcW w:w="1322" w:type="dxa"/>
            <w:tcBorders>
              <w:top w:val="single" w:color="auto" w:sz="4" w:space="0"/>
              <w:left w:val="single" w:color="auto" w:sz="4" w:space="0"/>
              <w:right w:val="single" w:color="auto" w:sz="4" w:space="0"/>
            </w:tcBorders>
            <w:noWrap w:val="0"/>
            <w:vAlign w:val="center"/>
          </w:tcPr>
          <w:p w14:paraId="25570AD5">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center"/>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培训及知识转移</w:t>
            </w:r>
          </w:p>
        </w:tc>
        <w:tc>
          <w:tcPr>
            <w:tcW w:w="6445" w:type="dxa"/>
            <w:tcBorders>
              <w:top w:val="single" w:color="auto" w:sz="4" w:space="0"/>
              <w:left w:val="single" w:color="auto" w:sz="4" w:space="0"/>
              <w:right w:val="single" w:color="auto" w:sz="4" w:space="0"/>
            </w:tcBorders>
            <w:noWrap w:val="0"/>
            <w:vAlign w:val="center"/>
          </w:tcPr>
          <w:p w14:paraId="3DDA17EF">
            <w:pPr>
              <w:keepNext w:val="0"/>
              <w:keepLines w:val="0"/>
              <w:pageBreakBefore w:val="0"/>
              <w:widowControl/>
              <w:kinsoku/>
              <w:wordWrap/>
              <w:overflowPunct/>
              <w:topLinePunct w:val="0"/>
              <w:autoSpaceDE/>
              <w:autoSpaceDN/>
              <w:bidi w:val="0"/>
              <w:adjustRightInd/>
              <w:snapToGrid/>
              <w:spacing w:beforeLines="0" w:afterLines="0" w:line="360" w:lineRule="auto"/>
              <w:ind w:firstLine="0" w:firstLineChars="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通过必要培训使采购人相关人员，以及采购人指定的人员（包括第三方人员），熟悉系统内容和功能，以及使用权限划分与操作方式，包括系统架构、部署系统二级运维、参数配置等内容；提供完备的培训材料；掌握本项目新客户化开发部分功能的二次开发能力</w:t>
            </w:r>
          </w:p>
        </w:tc>
      </w:tr>
    </w:tbl>
    <w:p w14:paraId="775DC7BA">
      <w:pPr>
        <w:widowControl w:val="0"/>
        <w:spacing w:line="360" w:lineRule="auto"/>
        <w:ind w:firstLine="420"/>
        <w:jc w:val="left"/>
        <w:rPr>
          <w:rFonts w:ascii="宋体" w:hAnsi="宋体" w:eastAsia="宋体" w:cs="Times New Roman"/>
          <w:b/>
          <w:color w:val="auto"/>
          <w:kern w:val="2"/>
          <w:sz w:val="24"/>
          <w:szCs w:val="24"/>
          <w:highlight w:val="none"/>
          <w:lang w:val="en-US" w:eastAsia="zh-CN" w:bidi="ar-SA"/>
        </w:rPr>
      </w:pPr>
    </w:p>
    <w:p w14:paraId="647C2771">
      <w:pPr>
        <w:widowControl w:val="0"/>
        <w:spacing w:line="360" w:lineRule="auto"/>
        <w:ind w:left="0" w:leftChars="0" w:firstLine="0" w:firstLineChars="0"/>
        <w:jc w:val="both"/>
        <w:rPr>
          <w:rFonts w:ascii="Times New Roman" w:hAnsi="Times New Roman" w:eastAsia="宋体" w:cs="Times New Roman"/>
          <w:color w:val="auto"/>
          <w:kern w:val="2"/>
          <w:sz w:val="24"/>
          <w:szCs w:val="24"/>
          <w:highlight w:val="none"/>
          <w:lang w:val="en-US" w:eastAsia="zh-CN" w:bidi="ar-SA"/>
        </w:rPr>
      </w:pPr>
    </w:p>
    <w:p w14:paraId="07A17B14">
      <w:pPr>
        <w:keepNext/>
        <w:keepLines/>
        <w:pageBreakBefore w:val="0"/>
        <w:widowControl w:val="0"/>
        <w:numPr>
          <w:ilvl w:val="0"/>
          <w:numId w:val="5"/>
        </w:numPr>
        <w:kinsoku/>
        <w:wordWrap/>
        <w:overflowPunct/>
        <w:topLinePunct w:val="0"/>
        <w:autoSpaceDE/>
        <w:autoSpaceDN/>
        <w:bidi w:val="0"/>
        <w:adjustRightInd w:val="0"/>
        <w:snapToGrid/>
        <w:spacing w:before="157" w:beforeLines="50" w:after="0" w:afterLines="0" w:line="360" w:lineRule="auto"/>
        <w:ind w:firstLine="480" w:firstLineChars="200"/>
        <w:jc w:val="both"/>
        <w:textAlignment w:val="baseline"/>
        <w:outlineLvl w:val="0"/>
        <w:rPr>
          <w:rFonts w:hint="eastAsia" w:ascii="Times New Roman" w:hAnsi="黑体" w:eastAsia="黑体" w:cs="Times New Roman"/>
          <w:b w:val="0"/>
          <w:bCs w:val="0"/>
          <w:color w:val="auto"/>
          <w:kern w:val="2"/>
          <w:sz w:val="24"/>
          <w:szCs w:val="24"/>
          <w:highlight w:val="none"/>
          <w:lang w:val="en-US" w:eastAsia="zh-CN" w:bidi="ar-SA"/>
        </w:rPr>
      </w:pPr>
      <w:bookmarkStart w:id="7" w:name="_Toc2791"/>
      <w:bookmarkStart w:id="8" w:name="_Toc628"/>
      <w:r>
        <w:rPr>
          <w:rFonts w:hint="eastAsia" w:ascii="Times New Roman" w:hAnsi="黑体" w:eastAsia="黑体" w:cs="Times New Roman"/>
          <w:b w:val="0"/>
          <w:bCs w:val="0"/>
          <w:color w:val="auto"/>
          <w:kern w:val="2"/>
          <w:sz w:val="24"/>
          <w:szCs w:val="24"/>
          <w:highlight w:val="none"/>
          <w:lang w:val="en-US" w:eastAsia="zh-CN" w:bidi="ar-SA"/>
        </w:rPr>
        <w:t>业务要求</w:t>
      </w:r>
      <w:bookmarkEnd w:id="7"/>
    </w:p>
    <w:p w14:paraId="34FFC5C7">
      <w:pPr>
        <w:keepNext/>
        <w:keepLines/>
        <w:widowControl w:val="0"/>
        <w:numPr>
          <w:ilvl w:val="1"/>
          <w:numId w:val="0"/>
        </w:numPr>
        <w:spacing w:before="260" w:after="260" w:line="360" w:lineRule="auto"/>
        <w:ind w:firstLine="482" w:firstLineChars="200"/>
        <w:jc w:val="both"/>
        <w:outlineLvl w:val="1"/>
        <w:rPr>
          <w:rFonts w:hint="eastAsia" w:ascii="Cambria" w:hAnsi="Cambria" w:eastAsia="宋体" w:cs="Times New Roman"/>
          <w:b/>
          <w:bCs/>
          <w:color w:val="auto"/>
          <w:kern w:val="2"/>
          <w:sz w:val="24"/>
          <w:szCs w:val="24"/>
          <w:highlight w:val="none"/>
          <w:lang w:val="en-US" w:eastAsia="zh-CN" w:bidi="ar-SA"/>
        </w:rPr>
      </w:pPr>
      <w:r>
        <w:rPr>
          <w:rFonts w:hint="eastAsia" w:ascii="楷体_GB2312" w:hAnsi="楷体_GB2312" w:eastAsia="楷体_GB2312" w:cs="楷体_GB2312"/>
          <w:b/>
          <w:bCs/>
          <w:color w:val="auto"/>
          <w:kern w:val="2"/>
          <w:sz w:val="24"/>
          <w:szCs w:val="24"/>
          <w:highlight w:val="none"/>
          <w:lang w:val="en-US" w:eastAsia="zh-CN" w:bidi="ar-SA"/>
        </w:rPr>
        <w:t>（一）普惠金融业务系统业务要求。</w:t>
      </w:r>
    </w:p>
    <w:p w14:paraId="26D3782F">
      <w:pPr>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配合</w:t>
      </w:r>
      <w:r>
        <w:rPr>
          <w:rFonts w:hint="eastAsia" w:ascii="仿宋_GB2312" w:hAnsi="仿宋_GB2312" w:eastAsia="仿宋_GB2312" w:cs="仿宋_GB2312"/>
          <w:b w:val="0"/>
          <w:bCs/>
          <w:color w:val="auto"/>
          <w:sz w:val="24"/>
          <w:szCs w:val="24"/>
          <w:highlight w:val="none"/>
          <w:lang w:val="en-US" w:eastAsia="zh-CN"/>
        </w:rPr>
        <w:t>普惠金融业务系统</w:t>
      </w:r>
      <w:r>
        <w:rPr>
          <w:rFonts w:hint="eastAsia" w:ascii="仿宋_GB2312" w:hAnsi="仿宋_GB2312" w:eastAsia="仿宋_GB2312" w:cs="仿宋_GB2312"/>
          <w:color w:val="auto"/>
          <w:sz w:val="24"/>
          <w:szCs w:val="24"/>
          <w:highlight w:val="none"/>
          <w:lang w:val="en-US" w:eastAsia="zh-CN"/>
        </w:rPr>
        <w:t>，按采购人计划完成现有系统功能配合改造并投产上线。业务需求说明书将对需求提出详细的业务要求和调整内容。</w:t>
      </w:r>
    </w:p>
    <w:p w14:paraId="4A4508B1">
      <w:pPr>
        <w:keepNext/>
        <w:keepLines/>
        <w:widowControl w:val="0"/>
        <w:numPr>
          <w:ilvl w:val="1"/>
          <w:numId w:val="0"/>
        </w:numPr>
        <w:bidi w:val="0"/>
        <w:spacing w:before="260" w:after="260" w:line="360" w:lineRule="auto"/>
        <w:ind w:firstLine="482" w:firstLineChars="200"/>
        <w:jc w:val="both"/>
        <w:outlineLvl w:val="1"/>
        <w:rPr>
          <w:rFonts w:hint="eastAsia" w:ascii="楷体_GB2312" w:hAnsi="楷体_GB2312" w:eastAsia="楷体_GB2312" w:cs="楷体_GB2312"/>
          <w:b/>
          <w:bCs/>
          <w:color w:val="auto"/>
          <w:kern w:val="2"/>
          <w:sz w:val="24"/>
          <w:szCs w:val="24"/>
          <w:highlight w:val="none"/>
          <w:lang w:val="en-US" w:eastAsia="zh-CN" w:bidi="ar-SA"/>
        </w:rPr>
      </w:pPr>
      <w:r>
        <w:rPr>
          <w:rFonts w:hint="eastAsia" w:ascii="楷体_GB2312" w:hAnsi="楷体_GB2312" w:eastAsia="楷体_GB2312" w:cs="楷体_GB2312"/>
          <w:b/>
          <w:bCs/>
          <w:color w:val="auto"/>
          <w:kern w:val="2"/>
          <w:sz w:val="24"/>
          <w:szCs w:val="24"/>
          <w:highlight w:val="none"/>
          <w:lang w:val="en-US" w:eastAsia="zh-CN" w:bidi="ar-SA"/>
        </w:rPr>
        <w:t>（二）持续建设的要求。</w:t>
      </w:r>
    </w:p>
    <w:p w14:paraId="1D1601D9">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楷体" w:eastAsia="仿宋_GB2312" w:cs="Times New Roman"/>
          <w:color w:val="auto"/>
          <w:sz w:val="24"/>
          <w:szCs w:val="24"/>
          <w:highlight w:val="none"/>
          <w:lang w:val="en-US" w:eastAsia="zh-CN"/>
        </w:rPr>
        <w:t>对于项目采购及建设期内新增的外部监管需求，需开展分析工作并实施。</w:t>
      </w:r>
    </w:p>
    <w:p w14:paraId="07161AF6">
      <w:pPr>
        <w:keepNext/>
        <w:keepLines/>
        <w:pageBreakBefore w:val="0"/>
        <w:widowControl w:val="0"/>
        <w:numPr>
          <w:ilvl w:val="0"/>
          <w:numId w:val="5"/>
        </w:numPr>
        <w:kinsoku/>
        <w:wordWrap/>
        <w:overflowPunct/>
        <w:topLinePunct w:val="0"/>
        <w:autoSpaceDE/>
        <w:autoSpaceDN/>
        <w:bidi w:val="0"/>
        <w:adjustRightInd w:val="0"/>
        <w:snapToGrid/>
        <w:spacing w:before="157" w:beforeLines="50" w:after="0" w:afterLines="0" w:line="360" w:lineRule="auto"/>
        <w:ind w:firstLine="480" w:firstLineChars="200"/>
        <w:jc w:val="both"/>
        <w:textAlignment w:val="baseline"/>
        <w:outlineLvl w:val="0"/>
        <w:rPr>
          <w:rFonts w:hint="default" w:ascii="Times New Roman" w:hAnsi="黑体" w:eastAsia="黑体" w:cs="Times New Roman"/>
          <w:b w:val="0"/>
          <w:bCs w:val="0"/>
          <w:color w:val="auto"/>
          <w:kern w:val="2"/>
          <w:sz w:val="24"/>
          <w:szCs w:val="24"/>
          <w:highlight w:val="none"/>
          <w:lang w:val="en-US" w:eastAsia="zh-CN" w:bidi="ar-SA"/>
        </w:rPr>
      </w:pPr>
      <w:bookmarkStart w:id="9" w:name="_Toc24978"/>
      <w:r>
        <w:rPr>
          <w:rFonts w:hint="eastAsia" w:ascii="Times New Roman" w:hAnsi="黑体" w:eastAsia="黑体" w:cs="Times New Roman"/>
          <w:b w:val="0"/>
          <w:bCs w:val="0"/>
          <w:color w:val="auto"/>
          <w:kern w:val="2"/>
          <w:sz w:val="24"/>
          <w:szCs w:val="24"/>
          <w:highlight w:val="none"/>
          <w:lang w:val="en-US" w:eastAsia="zh-CN" w:bidi="ar-SA"/>
        </w:rPr>
        <w:t>技术要求</w:t>
      </w:r>
      <w:bookmarkEnd w:id="9"/>
    </w:p>
    <w:p w14:paraId="15A38282">
      <w:pPr>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在保持现有系统整体架构和稳定运行的基础上，对各需求进行合理架构初分，各物理子系统按照涉及需求的关联依赖情况，科学设计系统功能改造方案，确定实施计划安排，确保系统功能切分清晰，底层逻辑准确，业务流程顺畅。</w:t>
      </w:r>
    </w:p>
    <w:p w14:paraId="489FE2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需求涉及系统包括但不限于29个物理子系统。</w:t>
      </w:r>
    </w:p>
    <w:tbl>
      <w:tblPr>
        <w:tblStyle w:val="4"/>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0"/>
        <w:gridCol w:w="7140"/>
      </w:tblGrid>
      <w:tr w14:paraId="43ED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23368FE9">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序号</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6852C260">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对接系统</w:t>
            </w:r>
          </w:p>
        </w:tc>
      </w:tr>
      <w:tr w14:paraId="140BF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78832CD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35ED0E4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定价管理-定价模型-OLAP</w:t>
            </w:r>
          </w:p>
        </w:tc>
      </w:tr>
      <w:tr w14:paraId="6F151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143AB08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7766A6F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集团全面风险监控预警平台</w:t>
            </w:r>
          </w:p>
        </w:tc>
      </w:tr>
      <w:tr w14:paraId="0D620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2543D20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3</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3A4E200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管理会计</w:t>
            </w:r>
          </w:p>
        </w:tc>
      </w:tr>
      <w:tr w14:paraId="78F2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6C5B7AB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4</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2945AF1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关联交易管理</w:t>
            </w:r>
          </w:p>
        </w:tc>
      </w:tr>
      <w:tr w14:paraId="20D15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6647451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5</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362977C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内部转移价格管理</w:t>
            </w:r>
          </w:p>
        </w:tc>
      </w:tr>
      <w:tr w14:paraId="178D2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668AA19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6</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2CEB8D3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贷款损失准备金管理</w:t>
            </w:r>
          </w:p>
        </w:tc>
      </w:tr>
      <w:tr w14:paraId="3475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620E86C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7</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04B9F25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中央风险计量引擎</w:t>
            </w:r>
          </w:p>
        </w:tc>
      </w:tr>
      <w:tr w14:paraId="1DAAB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59A8876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8</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0165668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法律事务管理</w:t>
            </w:r>
          </w:p>
        </w:tc>
      </w:tr>
      <w:tr w14:paraId="0265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78D6886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9</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3E11583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财务会计-非引擎</w:t>
            </w:r>
          </w:p>
        </w:tc>
      </w:tr>
      <w:tr w14:paraId="48DDE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5D6FFB3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10</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3F698CD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财务会计-中收计量内部帐</w:t>
            </w:r>
          </w:p>
        </w:tc>
      </w:tr>
      <w:tr w14:paraId="38E04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2914E7C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11</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0FBD66D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产品研发</w:t>
            </w:r>
          </w:p>
        </w:tc>
      </w:tr>
      <w:tr w14:paraId="5F167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73047A6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12</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0630259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产品研发-产品装配</w:t>
            </w:r>
          </w:p>
        </w:tc>
      </w:tr>
      <w:tr w14:paraId="26C5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4ED2FA0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13</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17BA613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P8-产品研发-产品装配</w:t>
            </w:r>
          </w:p>
        </w:tc>
      </w:tr>
      <w:tr w14:paraId="36C60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2C8F3EB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14</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6B12607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定价管理-计算引擎-OLTP</w:t>
            </w:r>
          </w:p>
        </w:tc>
      </w:tr>
      <w:tr w14:paraId="1617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7D66527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15</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3AC461A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贷款</w:t>
            </w:r>
          </w:p>
        </w:tc>
      </w:tr>
      <w:tr w14:paraId="2F236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48C45A6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16</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79D01EF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员工渠道整合平台</w:t>
            </w:r>
          </w:p>
        </w:tc>
      </w:tr>
      <w:tr w14:paraId="7FE97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056643C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17</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47F2C67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客户服务</w:t>
            </w:r>
          </w:p>
        </w:tc>
      </w:tr>
      <w:tr w14:paraId="2493E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60CB347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18</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4DED061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客户服务-回单和结单</w:t>
            </w:r>
          </w:p>
        </w:tc>
      </w:tr>
      <w:tr w14:paraId="4CEA0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560297D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19</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0618FE1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机构信息和用户管理系统</w:t>
            </w:r>
          </w:p>
        </w:tc>
      </w:tr>
      <w:tr w14:paraId="571F7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437F974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20</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79E8368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集中运营服务-统一凭证库</w:t>
            </w:r>
          </w:p>
        </w:tc>
      </w:tr>
      <w:tr w14:paraId="0BF24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7BCDA80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21</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0483389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参数管理</w:t>
            </w:r>
          </w:p>
        </w:tc>
      </w:tr>
      <w:tr w14:paraId="30548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3686F46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22</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0070B4B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智能财报系统</w:t>
            </w:r>
          </w:p>
        </w:tc>
      </w:tr>
      <w:tr w14:paraId="4D6E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67D7A26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23</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71C9713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图像识别系统</w:t>
            </w:r>
          </w:p>
        </w:tc>
      </w:tr>
      <w:tr w14:paraId="17DBB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56F98F9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24</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39045D2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数据集成</w:t>
            </w:r>
          </w:p>
        </w:tc>
      </w:tr>
      <w:tr w14:paraId="6412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7CB06CF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25</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47455A2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事件管理</w:t>
            </w:r>
          </w:p>
        </w:tc>
      </w:tr>
      <w:tr w14:paraId="6A882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1013EC2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26</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513A047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文件传输</w:t>
            </w:r>
          </w:p>
        </w:tc>
      </w:tr>
      <w:tr w14:paraId="3FB8C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769A4BE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27</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09BE11C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消息中心</w:t>
            </w:r>
          </w:p>
        </w:tc>
      </w:tr>
      <w:tr w14:paraId="33675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6C3DD23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28</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16AF164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用户认证</w:t>
            </w:r>
          </w:p>
        </w:tc>
      </w:tr>
      <w:tr w14:paraId="7B71A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0" w:type="pct"/>
            <w:tcBorders>
              <w:top w:val="single" w:color="000000" w:sz="4" w:space="0"/>
              <w:left w:val="single" w:color="000000" w:sz="4" w:space="0"/>
              <w:bottom w:val="single" w:color="000000" w:sz="4" w:space="0"/>
              <w:right w:val="single" w:color="000000" w:sz="4" w:space="0"/>
            </w:tcBorders>
            <w:noWrap/>
            <w:vAlign w:val="center"/>
          </w:tcPr>
          <w:p w14:paraId="3342747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29</w:t>
            </w:r>
          </w:p>
        </w:tc>
        <w:tc>
          <w:tcPr>
            <w:tcW w:w="4189" w:type="pct"/>
            <w:tcBorders>
              <w:top w:val="single" w:color="000000" w:sz="4" w:space="0"/>
              <w:left w:val="single" w:color="000000" w:sz="4" w:space="0"/>
              <w:bottom w:val="single" w:color="000000" w:sz="4" w:space="0"/>
              <w:right w:val="single" w:color="000000" w:sz="4" w:space="0"/>
            </w:tcBorders>
            <w:noWrap/>
            <w:vAlign w:val="center"/>
          </w:tcPr>
          <w:p w14:paraId="311A53C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加密服务</w:t>
            </w:r>
          </w:p>
        </w:tc>
      </w:tr>
    </w:tbl>
    <w:p w14:paraId="48C9745E">
      <w:pPr>
        <w:keepNext/>
        <w:keepLines/>
        <w:pageBreakBefore w:val="0"/>
        <w:widowControl w:val="0"/>
        <w:kinsoku/>
        <w:wordWrap/>
        <w:overflowPunct/>
        <w:topLinePunct w:val="0"/>
        <w:autoSpaceDE/>
        <w:autoSpaceDN/>
        <w:bidi w:val="0"/>
        <w:adjustRightInd w:val="0"/>
        <w:snapToGrid/>
        <w:spacing w:before="157" w:beforeLines="50" w:after="0" w:afterLines="0" w:line="360" w:lineRule="auto"/>
        <w:ind w:firstLine="480" w:firstLineChars="200"/>
        <w:jc w:val="both"/>
        <w:textAlignment w:val="baseline"/>
        <w:outlineLvl w:val="0"/>
        <w:rPr>
          <w:rFonts w:ascii="Times New Roman" w:hAnsi="Times New Roman" w:eastAsia="仿宋_GB2312" w:cs="Times New Roman"/>
          <w:b w:val="0"/>
          <w:bCs w:val="0"/>
          <w:color w:val="auto"/>
          <w:kern w:val="2"/>
          <w:sz w:val="24"/>
          <w:szCs w:val="24"/>
          <w:highlight w:val="none"/>
          <w:lang w:val="en-US" w:eastAsia="zh-CN" w:bidi="ar-SA"/>
        </w:rPr>
      </w:pPr>
      <w:bookmarkStart w:id="10" w:name="_Toc12222"/>
      <w:r>
        <w:rPr>
          <w:rFonts w:hint="eastAsia" w:ascii="Times New Roman" w:hAnsi="黑体" w:eastAsia="黑体" w:cs="Times New Roman"/>
          <w:b w:val="0"/>
          <w:bCs w:val="0"/>
          <w:color w:val="auto"/>
          <w:kern w:val="2"/>
          <w:sz w:val="24"/>
          <w:szCs w:val="24"/>
          <w:highlight w:val="none"/>
          <w:lang w:val="en-US" w:eastAsia="zh-CN" w:bidi="ar-SA"/>
        </w:rPr>
        <w:t>五</w:t>
      </w:r>
      <w:r>
        <w:rPr>
          <w:rFonts w:ascii="Times New Roman" w:hAnsi="黑体" w:eastAsia="黑体" w:cs="Times New Roman"/>
          <w:b w:val="0"/>
          <w:bCs w:val="0"/>
          <w:color w:val="auto"/>
          <w:kern w:val="2"/>
          <w:sz w:val="24"/>
          <w:szCs w:val="24"/>
          <w:highlight w:val="none"/>
          <w:lang w:val="en-US" w:eastAsia="zh-CN" w:bidi="ar-SA"/>
        </w:rPr>
        <w:t>、服务要求</w:t>
      </w:r>
      <w:bookmarkEnd w:id="8"/>
      <w:bookmarkEnd w:id="10"/>
    </w:p>
    <w:p w14:paraId="7A7225FD">
      <w:pPr>
        <w:pageBreakBefore w:val="0"/>
        <w:widowControl w:val="0"/>
        <w:numPr>
          <w:ilvl w:val="0"/>
          <w:numId w:val="0"/>
        </w:numPr>
        <w:kinsoku/>
        <w:overflowPunct/>
        <w:topLinePunct w:val="0"/>
        <w:autoSpaceDE/>
        <w:autoSpaceDN/>
        <w:bidi w:val="0"/>
        <w:adjustRightInd w:val="0"/>
        <w:snapToGrid/>
        <w:spacing w:beforeLines="0" w:afterLines="0" w:line="360" w:lineRule="auto"/>
        <w:ind w:firstLine="480" w:firstLineChars="200"/>
        <w:jc w:val="left"/>
        <w:rPr>
          <w:rFonts w:hint="eastAsia" w:ascii="楷体_GB2312" w:hAnsi="楷体_GB2312" w:eastAsia="楷体_GB2312" w:cs="楷体_GB2312"/>
          <w:color w:val="auto"/>
          <w:kern w:val="2"/>
          <w:sz w:val="24"/>
          <w:szCs w:val="24"/>
          <w:highlight w:val="none"/>
          <w:lang w:val="en-US" w:eastAsia="zh-CN" w:bidi="ar-SA"/>
        </w:rPr>
      </w:pPr>
      <w:r>
        <w:rPr>
          <w:rFonts w:hint="eastAsia" w:ascii="楷体_GB2312" w:hAnsi="楷体_GB2312" w:eastAsia="楷体_GB2312" w:cs="楷体_GB2312"/>
          <w:b w:val="0"/>
          <w:bCs w:val="0"/>
          <w:color w:val="auto"/>
          <w:kern w:val="2"/>
          <w:sz w:val="24"/>
          <w:szCs w:val="24"/>
          <w:highlight w:val="none"/>
          <w:lang w:val="en-US" w:eastAsia="zh-CN" w:bidi="ar-SA"/>
        </w:rPr>
        <w:t>（一）服务</w:t>
      </w:r>
      <w:r>
        <w:rPr>
          <w:rFonts w:hint="eastAsia" w:ascii="楷体_GB2312" w:hAnsi="楷体_GB2312" w:eastAsia="楷体_GB2312" w:cs="楷体_GB2312"/>
          <w:color w:val="auto"/>
          <w:kern w:val="2"/>
          <w:sz w:val="24"/>
          <w:szCs w:val="24"/>
          <w:highlight w:val="none"/>
          <w:lang w:val="en-US" w:eastAsia="zh-CN" w:bidi="ar-SA"/>
        </w:rPr>
        <w:t>要求</w:t>
      </w:r>
    </w:p>
    <w:p w14:paraId="1BD5AF68">
      <w:pPr>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bookmarkStart w:id="11" w:name="_Toc36545096"/>
      <w:r>
        <w:rPr>
          <w:rFonts w:hint="eastAsia" w:ascii="仿宋_GB2312" w:hAnsi="仿宋_GB2312" w:eastAsia="仿宋_GB2312" w:cs="仿宋_GB2312"/>
          <w:color w:val="auto"/>
          <w:sz w:val="24"/>
          <w:szCs w:val="24"/>
          <w:highlight w:val="none"/>
          <w:lang w:val="en-US" w:eastAsia="zh-CN"/>
        </w:rPr>
        <w:t>1.总体要求</w:t>
      </w:r>
    </w:p>
    <w:p w14:paraId="352A40F3">
      <w:pPr>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供应商应确保采购人享有对核心产品软件系统拥有永久的、不可撤销的、不可转让的修改权、复制权及其他使用权，以及对客户化软件及核心产品软件系统中客户化部分的全部知识产权。为实现上述目的，供应商应向采购人提供客户化软件及核心产品系统中客户化部分的目标程序及全部源代码，以及核心产品软件的目标程序及全部源代码。具体提供方式可由双方协商确定。</w:t>
      </w:r>
    </w:p>
    <w:p w14:paraId="158E72E3">
      <w:pPr>
        <w:pageBreakBefore w:val="0"/>
        <w:widowControl/>
        <w:kinsoku/>
        <w:overflowPunct/>
        <w:topLinePunct w:val="0"/>
        <w:autoSpaceDE/>
        <w:autoSpaceDN/>
        <w:bidi w:val="0"/>
        <w:snapToGrid/>
        <w:spacing w:beforeLines="0" w:afterLines="0" w:line="360" w:lineRule="auto"/>
        <w:ind w:left="0" w:leftChars="0" w:firstLine="480" w:firstLineChars="20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保证能够满足项目实施全生命周期中对开发、测试的要求，并支持通过开发实现对未来业务和技术功能的扩展。</w:t>
      </w:r>
    </w:p>
    <w:p w14:paraId="3552ACE0">
      <w:pPr>
        <w:pageBreakBefore w:val="0"/>
        <w:widowControl/>
        <w:kinsoku/>
        <w:overflowPunct/>
        <w:topLinePunct w:val="0"/>
        <w:autoSpaceDE/>
        <w:autoSpaceDN/>
        <w:bidi w:val="0"/>
        <w:snapToGrid/>
        <w:spacing w:beforeLines="0" w:afterLines="0" w:line="360" w:lineRule="auto"/>
        <w:ind w:left="0" w:leftChars="0" w:firstLine="480" w:firstLineChars="200"/>
        <w:jc w:val="left"/>
        <w:rPr>
          <w:rFonts w:hint="eastAsia" w:ascii="仿宋_GB2312" w:hAnsi="仿宋_GB2312" w:eastAsia="仿宋_GB2312" w:cs="仿宋_GB2312"/>
          <w:color w:val="auto"/>
          <w:sz w:val="24"/>
          <w:szCs w:val="24"/>
          <w:highlight w:val="none"/>
          <w:lang w:val="en-US" w:eastAsia="zh-CN"/>
        </w:rPr>
      </w:pPr>
      <w:r>
        <w:rPr>
          <w:rFonts w:hint="default" w:ascii="Times New Roman" w:hAnsi="楷体" w:eastAsia="仿宋_GB2312" w:cs="Times New Roman"/>
          <w:color w:val="auto"/>
          <w:sz w:val="24"/>
          <w:szCs w:val="24"/>
          <w:highlight w:val="none"/>
          <w:lang w:val="en-US" w:eastAsia="zh-CN"/>
        </w:rPr>
        <w:t>为项目配备具有相关资质、技能和经验的技术服务人员，提供所需的信息技术服务。</w:t>
      </w:r>
      <w:r>
        <w:rPr>
          <w:rFonts w:hint="eastAsia" w:ascii="仿宋_GB2312" w:hAnsi="仿宋_GB2312" w:eastAsia="仿宋_GB2312" w:cs="仿宋_GB2312"/>
          <w:color w:val="auto"/>
          <w:sz w:val="24"/>
          <w:szCs w:val="24"/>
          <w:highlight w:val="none"/>
          <w:lang w:val="en-US" w:eastAsia="zh-CN"/>
        </w:rPr>
        <w:t>在人员供给方面，应高效及时提供满足采购人要求的高质量人力资源，并且供应商应该具备此类人力资源的储备，保证满足采购人各项业务需求的开发质量及时间要求。在人员稳定性方面，应有效保障服务队伍的稳定性，以确保服务质量。在人员培训方面，应定期对服务人员进行内部培训，以使人员不断补充提高服务技能。</w:t>
      </w:r>
    </w:p>
    <w:bookmarkEnd w:id="11"/>
    <w:p w14:paraId="42982638">
      <w:pPr>
        <w:keepNext w:val="0"/>
        <w:keepLines w:val="0"/>
        <w:pageBreakBefore w:val="0"/>
        <w:widowControl/>
        <w:kinsoku/>
        <w:wordWrap/>
        <w:overflowPunct/>
        <w:topLinePunct w:val="0"/>
        <w:autoSpaceDE/>
        <w:autoSpaceDN/>
        <w:bidi w:val="0"/>
        <w:adjustRightInd/>
        <w:snapToGrid/>
        <w:spacing w:beforeLines="0" w:afterLines="0" w:line="360" w:lineRule="auto"/>
        <w:ind w:left="0" w:leftChars="0" w:firstLine="480" w:firstLineChars="200"/>
        <w:jc w:val="left"/>
        <w:textAlignment w:val="auto"/>
        <w:rPr>
          <w:rFonts w:hint="eastAsia" w:ascii="Times New Roman" w:hAnsi="楷体" w:eastAsia="仿宋_GB2312" w:cs="Times New Roman"/>
          <w:color w:val="auto"/>
          <w:sz w:val="24"/>
          <w:szCs w:val="24"/>
          <w:highlight w:val="none"/>
          <w:lang w:eastAsia="zh-CN"/>
        </w:rPr>
      </w:pPr>
      <w:r>
        <w:rPr>
          <w:rFonts w:hint="default" w:ascii="Times New Roman" w:hAnsi="楷体" w:eastAsia="仿宋_GB2312" w:cs="Times New Roman"/>
          <w:color w:val="auto"/>
          <w:sz w:val="24"/>
          <w:szCs w:val="24"/>
          <w:highlight w:val="none"/>
          <w:lang w:eastAsia="zh-CN"/>
        </w:rPr>
        <w:t>供应商</w:t>
      </w:r>
      <w:r>
        <w:rPr>
          <w:rFonts w:hint="default" w:ascii="Times New Roman" w:hAnsi="楷体" w:eastAsia="仿宋_GB2312" w:cs="Times New Roman"/>
          <w:color w:val="auto"/>
          <w:sz w:val="24"/>
          <w:szCs w:val="24"/>
          <w:highlight w:val="none"/>
        </w:rPr>
        <w:t>通过电话、电子邮件、传真等</w:t>
      </w:r>
      <w:r>
        <w:rPr>
          <w:rFonts w:hint="eastAsia" w:ascii="Times New Roman" w:hAnsi="楷体" w:eastAsia="仿宋_GB2312" w:cs="Times New Roman"/>
          <w:color w:val="auto"/>
          <w:sz w:val="24"/>
          <w:szCs w:val="24"/>
          <w:highlight w:val="none"/>
          <w:lang w:val="en-US" w:eastAsia="zh-CN"/>
        </w:rPr>
        <w:t>可能必要</w:t>
      </w:r>
      <w:r>
        <w:rPr>
          <w:rFonts w:hint="default" w:ascii="Times New Roman" w:hAnsi="楷体" w:eastAsia="仿宋_GB2312" w:cs="Times New Roman"/>
          <w:color w:val="auto"/>
          <w:sz w:val="24"/>
          <w:szCs w:val="24"/>
          <w:highlight w:val="none"/>
        </w:rPr>
        <w:t>方式向</w:t>
      </w:r>
      <w:r>
        <w:rPr>
          <w:rFonts w:hint="eastAsia" w:ascii="Times New Roman" w:hAnsi="楷体" w:eastAsia="仿宋_GB2312" w:cs="Times New Roman"/>
          <w:color w:val="auto"/>
          <w:sz w:val="24"/>
          <w:szCs w:val="24"/>
          <w:highlight w:val="none"/>
          <w:lang w:val="en-US" w:eastAsia="zh-CN"/>
        </w:rPr>
        <w:t>采购人</w:t>
      </w:r>
      <w:r>
        <w:rPr>
          <w:rFonts w:hint="default" w:ascii="Times New Roman" w:hAnsi="楷体" w:eastAsia="仿宋_GB2312" w:cs="Times New Roman"/>
          <w:color w:val="auto"/>
          <w:sz w:val="24"/>
          <w:szCs w:val="24"/>
          <w:highlight w:val="none"/>
        </w:rPr>
        <w:t>提供远程技术支持，</w:t>
      </w:r>
      <w:r>
        <w:rPr>
          <w:rFonts w:hint="eastAsia" w:ascii="Times New Roman" w:hAnsi="楷体" w:eastAsia="仿宋_GB2312" w:cs="Times New Roman"/>
          <w:color w:val="auto"/>
          <w:sz w:val="24"/>
          <w:szCs w:val="24"/>
          <w:highlight w:val="none"/>
          <w:lang w:val="en-US" w:eastAsia="zh-CN"/>
        </w:rPr>
        <w:t>及时</w:t>
      </w:r>
      <w:r>
        <w:rPr>
          <w:rFonts w:hint="default" w:ascii="Times New Roman" w:hAnsi="楷体" w:eastAsia="仿宋_GB2312" w:cs="Times New Roman"/>
          <w:color w:val="auto"/>
          <w:sz w:val="24"/>
          <w:szCs w:val="24"/>
          <w:highlight w:val="none"/>
        </w:rPr>
        <w:t>响应</w:t>
      </w:r>
      <w:r>
        <w:rPr>
          <w:rFonts w:hint="eastAsia" w:ascii="Times New Roman" w:hAnsi="楷体" w:eastAsia="仿宋_GB2312" w:cs="Times New Roman"/>
          <w:color w:val="auto"/>
          <w:sz w:val="24"/>
          <w:szCs w:val="24"/>
          <w:highlight w:val="none"/>
          <w:lang w:val="en-US" w:eastAsia="zh-CN"/>
        </w:rPr>
        <w:t>采购人</w:t>
      </w:r>
      <w:r>
        <w:rPr>
          <w:rFonts w:hint="default" w:ascii="Times New Roman" w:hAnsi="楷体" w:eastAsia="仿宋_GB2312" w:cs="Times New Roman"/>
          <w:color w:val="auto"/>
          <w:sz w:val="24"/>
          <w:szCs w:val="24"/>
          <w:highlight w:val="none"/>
        </w:rPr>
        <w:t>服务请求</w:t>
      </w:r>
      <w:r>
        <w:rPr>
          <w:rFonts w:hint="eastAsia" w:ascii="Times New Roman" w:hAnsi="楷体" w:eastAsia="仿宋_GB2312" w:cs="Times New Roman"/>
          <w:color w:val="auto"/>
          <w:sz w:val="24"/>
          <w:szCs w:val="24"/>
          <w:highlight w:val="none"/>
          <w:lang w:eastAsia="zh-CN"/>
        </w:rPr>
        <w:t>，</w:t>
      </w:r>
      <w:r>
        <w:rPr>
          <w:rFonts w:hint="default" w:ascii="Times New Roman" w:hAnsi="楷体" w:eastAsia="仿宋_GB2312" w:cs="Times New Roman"/>
          <w:color w:val="auto"/>
          <w:sz w:val="24"/>
          <w:szCs w:val="24"/>
          <w:highlight w:val="none"/>
        </w:rPr>
        <w:t>必要时协商提供人员现场服务支持</w:t>
      </w:r>
      <w:r>
        <w:rPr>
          <w:rFonts w:hint="eastAsia" w:ascii="Times New Roman" w:hAnsi="楷体" w:eastAsia="仿宋_GB2312" w:cs="Times New Roman"/>
          <w:color w:val="auto"/>
          <w:sz w:val="24"/>
          <w:szCs w:val="24"/>
          <w:highlight w:val="none"/>
          <w:lang w:eastAsia="zh-CN"/>
        </w:rPr>
        <w:t>。</w:t>
      </w:r>
    </w:p>
    <w:p w14:paraId="24578A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楷体" w:eastAsia="仿宋_GB2312" w:cs="Times New Roman"/>
          <w:color w:val="auto"/>
          <w:kern w:val="2"/>
          <w:sz w:val="24"/>
          <w:szCs w:val="24"/>
          <w:highlight w:val="none"/>
          <w:lang w:val="en-US" w:eastAsia="zh-CN" w:bidi="ar-SA"/>
        </w:rPr>
        <w:t>2.服务指标</w:t>
      </w:r>
    </w:p>
    <w:p w14:paraId="6D81E16A">
      <w:pPr>
        <w:widowControl w:val="0"/>
        <w:numPr>
          <w:ilvl w:val="0"/>
          <w:numId w:val="0"/>
        </w:numPr>
        <w:adjustRightInd w:val="0"/>
        <w:spacing w:line="360" w:lineRule="auto"/>
        <w:ind w:firstLine="480" w:firstLineChars="200"/>
        <w:jc w:val="left"/>
        <w:rPr>
          <w:rFonts w:hint="default" w:ascii="Times New Roman" w:hAnsi="楷体" w:eastAsia="仿宋_GB2312" w:cs="Times New Roman"/>
          <w:color w:val="auto"/>
          <w:kern w:val="2"/>
          <w:sz w:val="24"/>
          <w:szCs w:val="24"/>
          <w:highlight w:val="none"/>
          <w:lang w:val="en-US" w:eastAsia="zh-CN" w:bidi="ar-SA"/>
        </w:rPr>
      </w:pPr>
      <w:r>
        <w:rPr>
          <w:rFonts w:hint="eastAsia" w:ascii="Times New Roman" w:hAnsi="楷体" w:eastAsia="仿宋_GB2312" w:cs="Times New Roman"/>
          <w:color w:val="auto"/>
          <w:kern w:val="2"/>
          <w:sz w:val="24"/>
          <w:szCs w:val="24"/>
          <w:highlight w:val="none"/>
          <w:lang w:val="en-US" w:eastAsia="zh-CN" w:bidi="ar-SA"/>
        </w:rPr>
        <w:t>服务内容及标准如下：</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1759"/>
        <w:gridCol w:w="5983"/>
      </w:tblGrid>
      <w:tr w14:paraId="47F9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noWrap w:val="0"/>
            <w:vAlign w:val="center"/>
          </w:tcPr>
          <w:p w14:paraId="5D42AE49">
            <w:pPr>
              <w:spacing w:line="360" w:lineRule="auto"/>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序号</w:t>
            </w:r>
          </w:p>
        </w:tc>
        <w:tc>
          <w:tcPr>
            <w:tcW w:w="1032" w:type="pct"/>
            <w:noWrap w:val="0"/>
            <w:vAlign w:val="center"/>
          </w:tcPr>
          <w:p w14:paraId="4FF161F4">
            <w:pPr>
              <w:spacing w:line="360" w:lineRule="auto"/>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服务要求项目</w:t>
            </w:r>
          </w:p>
        </w:tc>
        <w:tc>
          <w:tcPr>
            <w:tcW w:w="3510" w:type="pct"/>
            <w:noWrap w:val="0"/>
            <w:vAlign w:val="center"/>
          </w:tcPr>
          <w:p w14:paraId="6B71B863">
            <w:pPr>
              <w:spacing w:line="360" w:lineRule="auto"/>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服务要求标准</w:t>
            </w:r>
          </w:p>
        </w:tc>
      </w:tr>
      <w:tr w14:paraId="0DEB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456" w:type="pct"/>
            <w:noWrap w:val="0"/>
            <w:vAlign w:val="center"/>
          </w:tcPr>
          <w:p w14:paraId="521C60D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032" w:type="pct"/>
            <w:noWrap w:val="0"/>
            <w:vAlign w:val="center"/>
          </w:tcPr>
          <w:p w14:paraId="45DB62B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实施能力</w:t>
            </w:r>
          </w:p>
        </w:tc>
        <w:tc>
          <w:tcPr>
            <w:tcW w:w="3510" w:type="pct"/>
            <w:noWrap w:val="0"/>
            <w:vAlign w:val="center"/>
          </w:tcPr>
          <w:p w14:paraId="575E96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供应商需已具备本项目涉及系统的自主开发及实施能力，采购人不提供系统培训和材料。</w:t>
            </w:r>
          </w:p>
          <w:p w14:paraId="67663F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对本项目中涉及代码改造的系统，供应商需提供以往</w:t>
            </w:r>
            <w:r>
              <w:rPr>
                <w:rFonts w:hint="default" w:ascii="仿宋_GB2312" w:hAnsi="仿宋_GB2312" w:eastAsia="仿宋_GB2312" w:cs="仿宋_GB2312"/>
                <w:color w:val="auto"/>
                <w:sz w:val="24"/>
                <w:szCs w:val="24"/>
                <w:highlight w:val="none"/>
                <w:lang w:val="en-US" w:eastAsia="zh-CN"/>
              </w:rPr>
              <w:t>同</w:t>
            </w:r>
            <w:r>
              <w:rPr>
                <w:rFonts w:hint="eastAsia" w:ascii="仿宋_GB2312" w:hAnsi="仿宋_GB2312" w:eastAsia="仿宋_GB2312" w:cs="仿宋_GB2312"/>
                <w:color w:val="auto"/>
                <w:sz w:val="24"/>
                <w:szCs w:val="24"/>
                <w:highlight w:val="none"/>
                <w:lang w:val="en-US" w:eastAsia="zh-CN"/>
              </w:rPr>
              <w:t>类系统实施案例作为实施能力证明，提供材料（包括但不限于商务合同、工作说明书、验收报告等）的内容应能够直观体现供应商对该系统的功能改造能力。</w:t>
            </w:r>
          </w:p>
        </w:tc>
      </w:tr>
      <w:tr w14:paraId="77B6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456" w:type="pct"/>
            <w:noWrap w:val="0"/>
            <w:vAlign w:val="center"/>
          </w:tcPr>
          <w:p w14:paraId="149CD58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032" w:type="pct"/>
            <w:noWrap w:val="0"/>
            <w:vAlign w:val="center"/>
          </w:tcPr>
          <w:p w14:paraId="0C114CC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源代码</w:t>
            </w:r>
          </w:p>
          <w:p w14:paraId="3DA8F83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sz w:val="24"/>
                <w:szCs w:val="24"/>
                <w:highlight w:val="none"/>
                <w:lang w:eastAsia="zh-CN"/>
              </w:rPr>
              <w:t>要求</w:t>
            </w:r>
          </w:p>
        </w:tc>
        <w:tc>
          <w:tcPr>
            <w:tcW w:w="3510" w:type="pct"/>
            <w:noWrap w:val="0"/>
            <w:vAlign w:val="center"/>
          </w:tcPr>
          <w:p w14:paraId="0CBE281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向采购人提供客户化软件及</w:t>
            </w:r>
            <w:r>
              <w:rPr>
                <w:rFonts w:hint="eastAsia" w:ascii="仿宋_GB2312" w:hAnsi="仿宋_GB2312" w:eastAsia="仿宋_GB2312" w:cs="仿宋_GB2312"/>
                <w:color w:val="auto"/>
                <w:sz w:val="24"/>
                <w:szCs w:val="24"/>
                <w:highlight w:val="none"/>
                <w:lang w:val="en-US" w:eastAsia="zh-CN"/>
              </w:rPr>
              <w:t>项目涉及的已有</w:t>
            </w:r>
            <w:r>
              <w:rPr>
                <w:rFonts w:hint="eastAsia" w:ascii="仿宋_GB2312" w:hAnsi="仿宋_GB2312" w:eastAsia="仿宋_GB2312" w:cs="仿宋_GB2312"/>
                <w:color w:val="auto"/>
                <w:sz w:val="24"/>
                <w:szCs w:val="24"/>
                <w:highlight w:val="none"/>
                <w:lang w:eastAsia="zh-CN"/>
              </w:rPr>
              <w:t>系统中客户化部分的目标程序及全部源代码，以及</w:t>
            </w:r>
            <w:r>
              <w:rPr>
                <w:rFonts w:hint="eastAsia" w:ascii="仿宋_GB2312" w:hAnsi="仿宋_GB2312" w:eastAsia="仿宋_GB2312" w:cs="仿宋_GB2312"/>
                <w:color w:val="auto"/>
                <w:sz w:val="24"/>
                <w:szCs w:val="24"/>
                <w:highlight w:val="none"/>
                <w:lang w:val="en-US" w:eastAsia="zh-CN"/>
              </w:rPr>
              <w:t>为实现项目需求引入的</w:t>
            </w:r>
            <w:r>
              <w:rPr>
                <w:rFonts w:hint="eastAsia" w:ascii="仿宋_GB2312" w:hAnsi="仿宋_GB2312" w:eastAsia="仿宋_GB2312" w:cs="仿宋_GB2312"/>
                <w:color w:val="auto"/>
                <w:sz w:val="24"/>
                <w:szCs w:val="24"/>
                <w:highlight w:val="none"/>
                <w:lang w:eastAsia="zh-CN"/>
              </w:rPr>
              <w:t>产品软件的目标程序及全部源代码。</w:t>
            </w:r>
            <w:r>
              <w:rPr>
                <w:rFonts w:hint="eastAsia" w:ascii="仿宋_GB2312" w:hAnsi="仿宋_GB2312" w:eastAsia="仿宋_GB2312" w:cs="仿宋_GB2312"/>
                <w:color w:val="auto"/>
                <w:sz w:val="24"/>
                <w:szCs w:val="24"/>
                <w:highlight w:val="none"/>
                <w:lang w:val="en-US" w:eastAsia="zh-CN"/>
              </w:rPr>
              <w:t>源代码提供方式由双方协商确定。</w:t>
            </w:r>
          </w:p>
        </w:tc>
      </w:tr>
      <w:tr w14:paraId="093E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56" w:type="pct"/>
            <w:noWrap w:val="0"/>
            <w:vAlign w:val="center"/>
          </w:tcPr>
          <w:p w14:paraId="4F6F6F4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1032" w:type="pct"/>
            <w:noWrap w:val="0"/>
            <w:vAlign w:val="center"/>
          </w:tcPr>
          <w:p w14:paraId="07DE4E3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方式要求</w:t>
            </w:r>
          </w:p>
        </w:tc>
        <w:tc>
          <w:tcPr>
            <w:tcW w:w="3510" w:type="pct"/>
            <w:noWrap w:val="0"/>
            <w:vAlign w:val="center"/>
          </w:tcPr>
          <w:p w14:paraId="37AAC2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在保持现有系统整体架构和稳定运行的基础上进行本项目开发。</w:t>
            </w:r>
          </w:p>
        </w:tc>
      </w:tr>
      <w:tr w14:paraId="11F8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6" w:type="pct"/>
            <w:noWrap w:val="0"/>
            <w:vAlign w:val="center"/>
          </w:tcPr>
          <w:p w14:paraId="7406475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1032" w:type="pct"/>
            <w:noWrap w:val="0"/>
            <w:vAlign w:val="center"/>
          </w:tcPr>
          <w:p w14:paraId="095EF7E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上线要求</w:t>
            </w:r>
          </w:p>
        </w:tc>
        <w:tc>
          <w:tcPr>
            <w:tcW w:w="3510" w:type="pct"/>
            <w:noWrap w:val="0"/>
            <w:vAlign w:val="center"/>
          </w:tcPr>
          <w:p w14:paraId="58664F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全部需求按采购人计划在月度版本投产上线。</w:t>
            </w:r>
          </w:p>
        </w:tc>
      </w:tr>
      <w:tr w14:paraId="5523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noWrap w:val="0"/>
            <w:vAlign w:val="center"/>
          </w:tcPr>
          <w:p w14:paraId="75F8196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1032" w:type="pct"/>
            <w:noWrap w:val="0"/>
            <w:vAlign w:val="center"/>
          </w:tcPr>
          <w:p w14:paraId="3ECB41C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highlight w:val="none"/>
              </w:rPr>
              <w:t>故障处理</w:t>
            </w:r>
          </w:p>
        </w:tc>
        <w:tc>
          <w:tcPr>
            <w:tcW w:w="3510" w:type="pct"/>
            <w:noWrap w:val="0"/>
            <w:vAlign w:val="top"/>
          </w:tcPr>
          <w:p w14:paraId="7A2D2BC8">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供应商通过标准化的操作流程进行软件的故障诊断和排除；配合其他条线进行故障处理。</w:t>
            </w:r>
          </w:p>
          <w:p w14:paraId="4541EC5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响应时限：（&lt;15）分钟</w:t>
            </w:r>
          </w:p>
          <w:p w14:paraId="4145E49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到达现场时限：（&lt;2）小时</w:t>
            </w:r>
          </w:p>
          <w:p w14:paraId="3D57D363">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解决问题时限：（&lt;4）小时</w:t>
            </w:r>
          </w:p>
        </w:tc>
      </w:tr>
      <w:tr w14:paraId="143D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456" w:type="pct"/>
            <w:noWrap w:val="0"/>
            <w:vAlign w:val="center"/>
          </w:tcPr>
          <w:p w14:paraId="00AB2B6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1032" w:type="pct"/>
            <w:noWrap w:val="0"/>
            <w:vAlign w:val="center"/>
          </w:tcPr>
          <w:p w14:paraId="64418BE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总体要求</w:t>
            </w:r>
          </w:p>
        </w:tc>
        <w:tc>
          <w:tcPr>
            <w:tcW w:w="3510" w:type="pct"/>
            <w:noWrap w:val="0"/>
            <w:vAlign w:val="top"/>
          </w:tcPr>
          <w:p w14:paraId="4EE041F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针对采购人业务特点阐述系统实施方法论，并结合方法论，描述完整、可行的系统整体技术方案、实施方案，包括但不限于项目管理、需求确认、系统设计、系统开发、系统测试、系统切换、系统推广等方案，以及试运行策略。</w:t>
            </w:r>
          </w:p>
          <w:p w14:paraId="6BDEC941">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要求完成项目实施、测试及系统投产等工作，并阐述系统的项目整体技术方案、实施方案、测试方案、系统投产方案，根据需要附相应模板。对于其中采购人有模板要求的交付件，应使用要求的模版进行编写。</w:t>
            </w:r>
          </w:p>
          <w:p w14:paraId="10685C8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阐述项目实施的组织架构（其中应包含采购人人员），并描述实施预期的时间进度表，提供具有明确里程碑的项目实施计划。</w:t>
            </w:r>
          </w:p>
          <w:p w14:paraId="71389175">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要求提供初步的验收测试计划以及充分的验收标准，并提供系统集成测试和投产测试的测试方案、测试案例和测试工具。</w:t>
            </w:r>
          </w:p>
          <w:p w14:paraId="277811D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供应商在本项目实施过程中，须服从采购人项目管理机构的管理。</w:t>
            </w:r>
          </w:p>
          <w:p w14:paraId="3B6A15F1">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要求供应商提供本项目中所有交付物清单，包括但不限于项目文档、产品技术文档（包括平台/系统相关的接口和集成技术规范、设计规范等规范类文件，与整体技术方案一并纳入评审范围。如需外部专家参加评审的，供应商负责外部专家评审费用）、用户手册和系统管理手册。</w:t>
            </w:r>
          </w:p>
          <w:p w14:paraId="315E8FE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阐述系统故障应急预案，确保系统在突发状况后能够及时发现，补救，恢复。</w:t>
            </w:r>
          </w:p>
          <w:p w14:paraId="597ED04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如有涉及第三方产品及服务，阐述相关产品及服务内容，报价及后期维护方式和费用。</w:t>
            </w:r>
          </w:p>
          <w:p w14:paraId="6D5017D0">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在技术方案评审阶段，提供软件物料清单，如涉及开源软件引入和使用的，应按照采购人要求开展引入评审和使用备案后方可使用。提供后续对开源软件的维护及升级支持，纳入维保范围。</w:t>
            </w:r>
          </w:p>
          <w:p w14:paraId="570D55F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项目所涉及系统的新建及升级改造应遵循采购人企业级架构原则进行系统设计，制定系统架构方案，并综合考虑采购人国产化替代工作情况。包括但不限于按照采购人联机、批量、消息等接口标准与行内系统进行交互；可对接采购人统一的用户认证系统，平台内部应用实现单点登录功能；Web页面应基于chrome内核浏览器进行开发等。</w:t>
            </w:r>
          </w:p>
        </w:tc>
      </w:tr>
      <w:tr w14:paraId="1FB7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56" w:type="pct"/>
            <w:noWrap w:val="0"/>
            <w:vAlign w:val="center"/>
          </w:tcPr>
          <w:p w14:paraId="1687AE6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p>
        </w:tc>
        <w:tc>
          <w:tcPr>
            <w:tcW w:w="1032" w:type="pct"/>
            <w:noWrap w:val="0"/>
            <w:vAlign w:val="center"/>
          </w:tcPr>
          <w:p w14:paraId="104669CC">
            <w:pPr>
              <w:widowControl/>
              <w:spacing w:after="120" w:line="360" w:lineRule="auto"/>
              <w:ind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应用架构要求</w:t>
            </w:r>
          </w:p>
        </w:tc>
        <w:tc>
          <w:tcPr>
            <w:tcW w:w="3510" w:type="pct"/>
            <w:noWrap w:val="0"/>
            <w:vAlign w:val="top"/>
          </w:tcPr>
          <w:p w14:paraId="5F0B1B9C">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（1）遵循采购人企业级架构原则进行系统设计，制定系统架构方案。</w:t>
            </w:r>
          </w:p>
          <w:p w14:paraId="6025D70B">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（2）融入采购人企业级架构，遵循渠道、服务、产品分离的架构原则。</w:t>
            </w:r>
          </w:p>
          <w:p w14:paraId="75013F47">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（3）遵循采购人服务集成原则，服务需通过采购人统一的应用调度平台进行注册与发布。</w:t>
            </w:r>
          </w:p>
          <w:p w14:paraId="0A64CF06">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（4）遵循采购人外联服务设计原则及接入模式。</w:t>
            </w:r>
          </w:p>
          <w:p w14:paraId="00F8AEED">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（5）按照采购人联机、批量、文件传输、事件消息等接口和相关报文标准与行内相关系统进行交互。</w:t>
            </w:r>
          </w:p>
          <w:p w14:paraId="6D83FC01">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（6）遵循采购人全局事件跟踪号编码规范。</w:t>
            </w:r>
          </w:p>
          <w:p w14:paraId="503222C1">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（7）使用采购人公共组件进行机构与用户信息管理，融入采购人统一的用户权限控制机制。</w:t>
            </w:r>
          </w:p>
          <w:p w14:paraId="322FF648">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（8）对接采购人用户认证等系统按照统一标准实现单点登陆等功能。</w:t>
            </w:r>
          </w:p>
          <w:p w14:paraId="79C5A094">
            <w:pPr>
              <w:widowControl/>
              <w:spacing w:after="12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（9）采用高内聚、低耦合原则进行模块设计。</w:t>
            </w:r>
          </w:p>
          <w:p w14:paraId="3CB5D90A">
            <w:pPr>
              <w:widowControl/>
              <w:spacing w:after="0" w:line="360" w:lineRule="auto"/>
              <w:ind w:firstLine="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（10）按照采购人开源软件管理的要求引入开源软件。</w:t>
            </w:r>
          </w:p>
        </w:tc>
      </w:tr>
      <w:tr w14:paraId="7438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56" w:type="pct"/>
            <w:noWrap w:val="0"/>
            <w:vAlign w:val="center"/>
          </w:tcPr>
          <w:p w14:paraId="5A2DB7E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1032" w:type="pct"/>
            <w:noWrap w:val="0"/>
            <w:vAlign w:val="center"/>
          </w:tcPr>
          <w:p w14:paraId="35479AB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项目实施要求</w:t>
            </w:r>
          </w:p>
        </w:tc>
        <w:tc>
          <w:tcPr>
            <w:tcW w:w="3510" w:type="pct"/>
            <w:noWrap w:val="0"/>
            <w:vAlign w:val="top"/>
          </w:tcPr>
          <w:p w14:paraId="21B1B53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以下列出了本项目实施过程中重要的实施任务，供应商应承诺完成所有实施任务，并遵守其中相关约定。相关要求参照项目工作说明书。</w:t>
            </w:r>
          </w:p>
          <w:p w14:paraId="6F85BAD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（一）项目管理。</w:t>
            </w:r>
          </w:p>
          <w:p w14:paraId="7A8269C9">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负责制定项目计划，并按照采购人的要求进行必要的调整。监督和控制项目进度。</w:t>
            </w:r>
          </w:p>
          <w:p w14:paraId="0A05BF9C">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负责管理安排项目资源。</w:t>
            </w:r>
          </w:p>
          <w:p w14:paraId="5ECA44C3">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负责配合管理项目的各项任务执行、人力资源、相互工作配合与交付承诺。</w:t>
            </w:r>
          </w:p>
          <w:p w14:paraId="684B00D7">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负责配合管理项目范围和需求变更，并协调变更要求的签署。</w:t>
            </w:r>
          </w:p>
          <w:p w14:paraId="6B4D4FF4">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负责实施项目配置和交付管理以及项目质量管理。</w:t>
            </w:r>
          </w:p>
          <w:p w14:paraId="3173E670">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负责项目问题管理和项目风险管理。</w:t>
            </w:r>
          </w:p>
          <w:p w14:paraId="5053122C">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负责与采购人进行沟通并按照要求进行工作报告。</w:t>
            </w:r>
          </w:p>
          <w:p w14:paraId="70916B9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（二）业务功能分析和设计。</w:t>
            </w:r>
          </w:p>
          <w:p w14:paraId="285A3685">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负责对本项目需求梳理细化。</w:t>
            </w:r>
          </w:p>
          <w:p w14:paraId="7D96F71B">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负责业务需求差异分析和评估。</w:t>
            </w:r>
          </w:p>
          <w:p w14:paraId="42FAE3BB">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负责业务功能分析和制定。</w:t>
            </w:r>
          </w:p>
          <w:p w14:paraId="7F6AD3E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负责编写需求规格说明书。</w:t>
            </w:r>
          </w:p>
          <w:p w14:paraId="582C7665">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负责提出与周边系统的集成解决方案。</w:t>
            </w:r>
          </w:p>
          <w:p w14:paraId="65EF382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负责系统配置设计、界面设计、扩展功能开发设计、数据转换设计等。</w:t>
            </w:r>
          </w:p>
          <w:p w14:paraId="59D6B0C3">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（三）技术架构分析和设计。</w:t>
            </w:r>
          </w:p>
          <w:p w14:paraId="7AE510D5">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负责制定技术架构方案。</w:t>
            </w:r>
          </w:p>
          <w:p w14:paraId="26BB686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负责制定系统二级运维管理方案。</w:t>
            </w:r>
          </w:p>
          <w:p w14:paraId="1538E05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负责分析接口定义并提出技术实现方案。</w:t>
            </w:r>
          </w:p>
          <w:p w14:paraId="1B093467">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负责评估与采购人总体技术架构的差异，并编写技术规格说明书。</w:t>
            </w:r>
          </w:p>
          <w:p w14:paraId="56BEFA4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负责提出开发与测试环境的构建方案。</w:t>
            </w:r>
          </w:p>
          <w:p w14:paraId="194C9007">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负责提出生产环境的构建方案。</w:t>
            </w:r>
          </w:p>
          <w:p w14:paraId="2F47C22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负责编写技术设计说明书。</w:t>
            </w:r>
          </w:p>
          <w:p w14:paraId="53995D93">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（四）业务功能构建。</w:t>
            </w:r>
          </w:p>
          <w:p w14:paraId="06F93BE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负责提出参数配置模版及配置方案。</w:t>
            </w:r>
          </w:p>
          <w:p w14:paraId="3A51AFA5">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负责进行客户化部分的详细设计，并编写详细设计说明书。</w:t>
            </w:r>
          </w:p>
          <w:p w14:paraId="6CB96DF5">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负责接口开发、扩展功能开发、数据转换开发。</w:t>
            </w:r>
          </w:p>
          <w:p w14:paraId="50B554E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负责计划、准备与执行单元测试。</w:t>
            </w:r>
          </w:p>
          <w:p w14:paraId="6DCE8DE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负责确认单元测试结果并提交单元测试报告。</w:t>
            </w:r>
          </w:p>
          <w:p w14:paraId="7E6E0A5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（五）技术架构构建。</w:t>
            </w:r>
          </w:p>
          <w:p w14:paraId="64C107C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负责测试环境的构建与确认。</w:t>
            </w:r>
          </w:p>
          <w:p w14:paraId="70492CD7">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负责就测试环境管理流程和制度与采购人达成一致。</w:t>
            </w:r>
          </w:p>
          <w:p w14:paraId="1F80B622">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负责进行测试环境下的应用系统的安装和配置。</w:t>
            </w:r>
          </w:p>
          <w:p w14:paraId="6DAFF58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（六）产品测试和性能测试。</w:t>
            </w:r>
          </w:p>
          <w:p w14:paraId="18C9B4D1">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负责产品测试的计划、准备和执行。</w:t>
            </w:r>
          </w:p>
          <w:p w14:paraId="779000C4">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负责系统修补，并完成产品测试报告。</w:t>
            </w:r>
          </w:p>
          <w:p w14:paraId="036EE08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负责性能测试的计划、准备和执行。</w:t>
            </w:r>
          </w:p>
          <w:p w14:paraId="2F8D7B7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负责系统调优和进一步的性能测试，并负责完成性能测试报告。</w:t>
            </w:r>
          </w:p>
          <w:p w14:paraId="111165C3">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（七）系统集成测试。</w:t>
            </w:r>
          </w:p>
          <w:p w14:paraId="67D13F59">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负责提出系统集成测试计划和方案。</w:t>
            </w:r>
          </w:p>
          <w:p w14:paraId="17C4756D">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负责完成系统集成测试案例、测试脚本以及相关的测试数据。</w:t>
            </w:r>
          </w:p>
          <w:p w14:paraId="3236A027">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负责在采购人统一管理下执行系统集成测试，进行系统修补和必要的回归测试。</w:t>
            </w:r>
          </w:p>
          <w:p w14:paraId="2E3CE52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负责完成相应的系统集成测试报告。</w:t>
            </w:r>
          </w:p>
          <w:p w14:paraId="6FC013DB">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（八）用户验收测试。</w:t>
            </w:r>
          </w:p>
          <w:p w14:paraId="57A0DE23">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协助提出用户验收测试计划和方案。</w:t>
            </w:r>
          </w:p>
          <w:p w14:paraId="333B19E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协助准备用户验收测试案例、测试脚本和数据。</w:t>
            </w:r>
          </w:p>
          <w:p w14:paraId="5E7D89B2">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协助执行用户验收测试。</w:t>
            </w:r>
          </w:p>
          <w:p w14:paraId="61507AC9">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负责系统修补。</w:t>
            </w:r>
          </w:p>
          <w:p w14:paraId="57A41F40">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协助进行回归测试、协助完成用户验收测试报告。</w:t>
            </w:r>
          </w:p>
          <w:p w14:paraId="663B8C51">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（九）投产和推广（包括投产、试运行、正式运行、最终验收）。</w:t>
            </w:r>
          </w:p>
          <w:p w14:paraId="57B83EE1">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根据需要负责制定上线演练计划和方案。</w:t>
            </w:r>
          </w:p>
          <w:p w14:paraId="45DC6E79">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负责制定投产演练方案、系统二级运维测试方案，负责系统二级运维培训，配合行方完成投产演练和系统二级运维测试工作。</w:t>
            </w:r>
          </w:p>
          <w:p w14:paraId="39A18DE4">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在采购人统一管理下执行上线演练。</w:t>
            </w:r>
          </w:p>
          <w:p w14:paraId="180B3FA4">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负责制定投产上线范围、制定系统（数据、业务）投产上线计划。</w:t>
            </w:r>
          </w:p>
          <w:p w14:paraId="241618C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负责制定投产上线操作方案、流程和策略，并制定应急和恢复方案。</w:t>
            </w:r>
          </w:p>
          <w:p w14:paraId="1CB92387">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负责制定试运行方案、流程和策略，并制定应急和恢复方案。</w:t>
            </w:r>
          </w:p>
          <w:p w14:paraId="214F9754">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协助采购人进行推广文档编制。</w:t>
            </w:r>
          </w:p>
          <w:p w14:paraId="5E9FE3FD">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协助采购人完成投产上线。</w:t>
            </w:r>
          </w:p>
          <w:p w14:paraId="345502E7">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支持系统试运行工作。</w:t>
            </w:r>
          </w:p>
          <w:p w14:paraId="1F9FC16C">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协助采购人完成系统最终验收。</w:t>
            </w:r>
          </w:p>
          <w:p w14:paraId="1CABB90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（十）第三方测试（如有）。</w:t>
            </w:r>
          </w:p>
          <w:p w14:paraId="7ED74953">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负责准备测试对象的搭建及调试。</w:t>
            </w:r>
          </w:p>
          <w:p w14:paraId="0FA73155">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负责按第三方测试要求准备测试数据。</w:t>
            </w:r>
          </w:p>
          <w:p w14:paraId="7B5F91FD">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为第三方测试提供技术支持。</w:t>
            </w:r>
          </w:p>
          <w:p w14:paraId="4072D7E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负责缺陷修复。</w:t>
            </w:r>
          </w:p>
        </w:tc>
      </w:tr>
      <w:tr w14:paraId="12D4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noWrap w:val="0"/>
            <w:vAlign w:val="center"/>
          </w:tcPr>
          <w:p w14:paraId="56038A2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w:t>
            </w:r>
          </w:p>
        </w:tc>
        <w:tc>
          <w:tcPr>
            <w:tcW w:w="1032" w:type="pct"/>
            <w:noWrap w:val="0"/>
            <w:vAlign w:val="center"/>
          </w:tcPr>
          <w:p w14:paraId="5AAADFC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2"/>
                <w:sz w:val="24"/>
                <w:szCs w:val="24"/>
                <w:highlight w:val="none"/>
              </w:rPr>
              <w:t>培训及知识转移要求</w:t>
            </w:r>
          </w:p>
        </w:tc>
        <w:tc>
          <w:tcPr>
            <w:tcW w:w="3510" w:type="pct"/>
            <w:noWrap w:val="0"/>
            <w:vAlign w:val="top"/>
          </w:tcPr>
          <w:p w14:paraId="7D1873B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（一）培训对象：培训对象包括采购人的开发人员、系统运行维护管理人员，以及采购人指定的其他相关人员（包括第三方人员）。</w:t>
            </w:r>
          </w:p>
          <w:p w14:paraId="3E348A48">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（二）培训目标：通过培训，应使上述人员：掌握系统提供的内容和功能，以及使用权限划分与操作方式；掌握本项目新客户化开发部分功能的二次开发能力。</w:t>
            </w:r>
          </w:p>
          <w:p w14:paraId="3871ACC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三）培训内容：供应商应具有知识和技术转移的意愿，并阐述详细的实际措施，以对项目实施阶段的参与者及项目最终的使用、开发和系统二级运维团队进行全面、有效的知识转移。供应商需提供系统在配置、开发、安装、使用、监控和维护等方面的培训。供应商须详细列出各阶段培训的服务清单，服务清单包括培训内容、授课方式、培训对象、时间计划安排和培训反馈处理等，对项目实施阶段的参与者及项目最终的使用、开发和系统二级运维团队进行全面、有效的知识转移，确保采购人形成一支熟悉系统运用、二次开发和维护的队伍。对于开发部分的知识和技术转移时间安排由采购人确定。</w:t>
            </w:r>
          </w:p>
          <w:p w14:paraId="68241B92">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（四）培训材料：供应商为所有被培训人员提供完备的文字资料（书面及电子版）和讲义（书面及电子版）等相关用品。</w:t>
            </w:r>
          </w:p>
        </w:tc>
      </w:tr>
    </w:tbl>
    <w:p w14:paraId="525D1485">
      <w:pPr>
        <w:widowControl w:val="0"/>
        <w:spacing w:line="360" w:lineRule="auto"/>
        <w:ind w:firstLine="420"/>
        <w:jc w:val="both"/>
        <w:rPr>
          <w:rFonts w:hint="default" w:ascii="Times New Roman" w:hAnsi="Times New Roman" w:eastAsia="宋体" w:cs="Times New Roman"/>
          <w:color w:val="auto"/>
          <w:kern w:val="2"/>
          <w:sz w:val="24"/>
          <w:szCs w:val="24"/>
          <w:highlight w:val="none"/>
          <w:lang w:val="en-US" w:eastAsia="zh-CN" w:bidi="ar-SA"/>
        </w:rPr>
      </w:pPr>
    </w:p>
    <w:p w14:paraId="2DEA31F2">
      <w:pPr>
        <w:pageBreakBefore w:val="0"/>
        <w:numPr>
          <w:ilvl w:val="0"/>
          <w:numId w:val="0"/>
        </w:numPr>
        <w:kinsoku/>
        <w:overflowPunct/>
        <w:topLinePunct w:val="0"/>
        <w:autoSpaceDE/>
        <w:autoSpaceDN/>
        <w:bidi w:val="0"/>
        <w:snapToGrid/>
        <w:spacing w:beforeLines="0" w:afterLines="0" w:line="360" w:lineRule="auto"/>
        <w:ind w:firstLine="480" w:firstLineChars="200"/>
        <w:rPr>
          <w:rFonts w:hint="eastAsia" w:ascii="楷体_GB2312" w:hAnsi="楷体_GB2312" w:eastAsia="楷体_GB2312" w:cs="楷体_GB2312"/>
          <w:bCs/>
          <w:color w:val="auto"/>
          <w:sz w:val="24"/>
          <w:szCs w:val="24"/>
          <w:highlight w:val="none"/>
        </w:rPr>
      </w:pPr>
      <w:r>
        <w:rPr>
          <w:rFonts w:hint="eastAsia" w:ascii="楷体_GB2312" w:hAnsi="楷体_GB2312" w:eastAsia="楷体_GB2312" w:cs="楷体_GB2312"/>
          <w:color w:val="auto"/>
          <w:sz w:val="24"/>
          <w:szCs w:val="24"/>
          <w:highlight w:val="none"/>
          <w:lang w:val="en-US" w:eastAsia="zh-CN"/>
        </w:rPr>
        <w:t>（二）主要交付物</w:t>
      </w:r>
    </w:p>
    <w:p w14:paraId="7E37CFE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Times New Roman" w:hAnsi="楷体" w:eastAsia="仿宋_GB2312" w:cs="宋体"/>
          <w:color w:val="auto"/>
          <w:kern w:val="2"/>
          <w:sz w:val="24"/>
          <w:szCs w:val="24"/>
          <w:highlight w:val="none"/>
          <w:lang w:val="en-US" w:eastAsia="zh-CN" w:bidi="ar-SA"/>
        </w:rPr>
      </w:pPr>
      <w:r>
        <w:rPr>
          <w:rFonts w:hint="eastAsia" w:ascii="Times New Roman" w:hAnsi="楷体" w:eastAsia="仿宋_GB2312" w:cs="宋体"/>
          <w:color w:val="auto"/>
          <w:kern w:val="2"/>
          <w:sz w:val="24"/>
          <w:szCs w:val="24"/>
          <w:highlight w:val="none"/>
          <w:lang w:val="en-US" w:eastAsia="zh-CN" w:bidi="ar-SA"/>
        </w:rPr>
        <w:t>在项目工作书中明确交付物类型、内容及交付形式，包含但不限于以下内容。</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1"/>
        <w:gridCol w:w="7119"/>
      </w:tblGrid>
      <w:tr w14:paraId="32E2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22" w:type="pct"/>
            <w:shd w:val="clear" w:color="auto" w:fill="BEBEBE"/>
            <w:noWrap w:val="0"/>
            <w:vAlign w:val="center"/>
          </w:tcPr>
          <w:p w14:paraId="75FEB2AB">
            <w:pPr>
              <w:spacing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过程域</w:t>
            </w:r>
          </w:p>
        </w:tc>
        <w:tc>
          <w:tcPr>
            <w:tcW w:w="4177" w:type="pct"/>
            <w:shd w:val="clear" w:color="auto" w:fill="BEBEBE"/>
            <w:noWrap w:val="0"/>
            <w:vAlign w:val="center"/>
          </w:tcPr>
          <w:p w14:paraId="789866BB">
            <w:pPr>
              <w:spacing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文档</w:t>
            </w:r>
          </w:p>
        </w:tc>
      </w:tr>
      <w:tr w14:paraId="5E8E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restart"/>
            <w:noWrap w:val="0"/>
            <w:vAlign w:val="center"/>
          </w:tcPr>
          <w:p w14:paraId="711794D8">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项目管理</w:t>
            </w:r>
          </w:p>
        </w:tc>
        <w:tc>
          <w:tcPr>
            <w:tcW w:w="4177" w:type="pct"/>
            <w:noWrap w:val="0"/>
            <w:vAlign w:val="center"/>
          </w:tcPr>
          <w:p w14:paraId="4B2B5000">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《项目详细实施计划》</w:t>
            </w:r>
          </w:p>
        </w:tc>
      </w:tr>
      <w:tr w14:paraId="2292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7EC1FC88">
            <w:pPr>
              <w:spacing w:line="360" w:lineRule="auto"/>
              <w:rPr>
                <w:rFonts w:hint="eastAsia" w:ascii="仿宋_GB2312" w:hAnsi="仿宋_GB2312" w:eastAsia="仿宋_GB2312" w:cs="仿宋_GB2312"/>
                <w:color w:val="auto"/>
                <w:sz w:val="24"/>
                <w:szCs w:val="24"/>
                <w:highlight w:val="none"/>
              </w:rPr>
            </w:pPr>
          </w:p>
        </w:tc>
        <w:tc>
          <w:tcPr>
            <w:tcW w:w="4177" w:type="pct"/>
            <w:noWrap w:val="0"/>
            <w:vAlign w:val="center"/>
          </w:tcPr>
          <w:p w14:paraId="1332B102">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《项目质量审计报告》</w:t>
            </w:r>
          </w:p>
        </w:tc>
      </w:tr>
      <w:tr w14:paraId="4B88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4DCFE6C9">
            <w:pPr>
              <w:spacing w:line="360" w:lineRule="auto"/>
              <w:rPr>
                <w:rFonts w:hint="eastAsia" w:ascii="仿宋_GB2312" w:hAnsi="仿宋_GB2312" w:eastAsia="仿宋_GB2312" w:cs="仿宋_GB2312"/>
                <w:color w:val="auto"/>
                <w:sz w:val="24"/>
                <w:szCs w:val="24"/>
                <w:highlight w:val="none"/>
              </w:rPr>
            </w:pPr>
          </w:p>
        </w:tc>
        <w:tc>
          <w:tcPr>
            <w:tcW w:w="4177" w:type="pct"/>
            <w:noWrap w:val="0"/>
            <w:vAlign w:val="center"/>
          </w:tcPr>
          <w:p w14:paraId="22649FB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《关键人员简历》</w:t>
            </w:r>
            <w:r>
              <w:rPr>
                <w:rFonts w:hint="eastAsia" w:ascii="仿宋_GB2312" w:hAnsi="仿宋_GB2312" w:eastAsia="仿宋_GB2312" w:cs="仿宋_GB2312"/>
                <w:color w:val="auto"/>
                <w:sz w:val="24"/>
                <w:szCs w:val="24"/>
                <w:highlight w:val="none"/>
              </w:rPr>
              <w:tab/>
            </w:r>
          </w:p>
        </w:tc>
      </w:tr>
      <w:tr w14:paraId="73B7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241384C8">
            <w:pPr>
              <w:spacing w:line="360" w:lineRule="auto"/>
              <w:rPr>
                <w:rFonts w:hint="eastAsia" w:ascii="仿宋_GB2312" w:hAnsi="仿宋_GB2312" w:eastAsia="仿宋_GB2312" w:cs="仿宋_GB2312"/>
                <w:color w:val="auto"/>
                <w:sz w:val="24"/>
                <w:szCs w:val="24"/>
                <w:highlight w:val="none"/>
              </w:rPr>
            </w:pPr>
          </w:p>
        </w:tc>
        <w:tc>
          <w:tcPr>
            <w:tcW w:w="4177" w:type="pct"/>
            <w:noWrap w:val="0"/>
            <w:vAlign w:val="center"/>
          </w:tcPr>
          <w:p w14:paraId="5B14685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《关键人员人力资源变动报告》</w:t>
            </w:r>
          </w:p>
        </w:tc>
      </w:tr>
      <w:tr w14:paraId="4ECD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22" w:type="pct"/>
            <w:vMerge w:val="continue"/>
            <w:noWrap w:val="0"/>
            <w:vAlign w:val="center"/>
          </w:tcPr>
          <w:p w14:paraId="1E1B7305">
            <w:pPr>
              <w:spacing w:line="360" w:lineRule="auto"/>
              <w:rPr>
                <w:rFonts w:hint="eastAsia" w:ascii="仿宋_GB2312" w:hAnsi="仿宋_GB2312" w:eastAsia="仿宋_GB2312" w:cs="仿宋_GB2312"/>
                <w:color w:val="auto"/>
                <w:sz w:val="24"/>
                <w:szCs w:val="24"/>
                <w:highlight w:val="none"/>
              </w:rPr>
            </w:pPr>
          </w:p>
        </w:tc>
        <w:tc>
          <w:tcPr>
            <w:tcW w:w="4177" w:type="pct"/>
            <w:noWrap w:val="0"/>
            <w:vAlign w:val="center"/>
          </w:tcPr>
          <w:p w14:paraId="01104DE3">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项目状态报告：日常管理采用周报</w:t>
            </w:r>
          </w:p>
        </w:tc>
      </w:tr>
      <w:tr w14:paraId="7AB7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22" w:type="pct"/>
            <w:vMerge w:val="restart"/>
            <w:noWrap w:val="0"/>
            <w:vAlign w:val="center"/>
          </w:tcPr>
          <w:p w14:paraId="78D3BA4F">
            <w:pPr>
              <w:spacing w:line="360" w:lineRule="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架构管理</w:t>
            </w:r>
          </w:p>
        </w:tc>
        <w:tc>
          <w:tcPr>
            <w:tcW w:w="4177" w:type="pct"/>
            <w:noWrap w:val="0"/>
            <w:vAlign w:val="top"/>
          </w:tcPr>
          <w:p w14:paraId="06EA5912">
            <w:pPr>
              <w:spacing w:line="360" w:lineRule="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项目架构方案说明书</w:t>
            </w:r>
          </w:p>
        </w:tc>
      </w:tr>
      <w:tr w14:paraId="568B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22" w:type="pct"/>
            <w:vMerge w:val="continue"/>
            <w:noWrap w:val="0"/>
            <w:vAlign w:val="center"/>
          </w:tcPr>
          <w:p w14:paraId="228CD35D">
            <w:pPr>
              <w:spacing w:line="360" w:lineRule="auto"/>
              <w:rPr>
                <w:rFonts w:hint="eastAsia" w:ascii="仿宋_GB2312" w:hAnsi="仿宋_GB2312" w:eastAsia="仿宋_GB2312" w:cs="仿宋_GB2312"/>
                <w:color w:val="auto"/>
                <w:sz w:val="24"/>
                <w:szCs w:val="24"/>
                <w:highlight w:val="none"/>
                <w:lang w:val="en-US" w:eastAsia="zh-CN"/>
              </w:rPr>
            </w:pPr>
          </w:p>
        </w:tc>
        <w:tc>
          <w:tcPr>
            <w:tcW w:w="4177" w:type="pct"/>
            <w:noWrap w:val="0"/>
            <w:vAlign w:val="top"/>
          </w:tcPr>
          <w:p w14:paraId="3B69FBEC">
            <w:pPr>
              <w:spacing w:line="360" w:lineRule="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应用架构数据架构方案检查点落实情况》(如有)</w:t>
            </w:r>
          </w:p>
        </w:tc>
      </w:tr>
      <w:tr w14:paraId="0FCC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restart"/>
            <w:noWrap w:val="0"/>
            <w:vAlign w:val="center"/>
          </w:tcPr>
          <w:p w14:paraId="3CE7254A">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需求分析</w:t>
            </w:r>
          </w:p>
        </w:tc>
        <w:tc>
          <w:tcPr>
            <w:tcW w:w="4177" w:type="pct"/>
            <w:noWrap w:val="0"/>
            <w:vAlign w:val="top"/>
          </w:tcPr>
          <w:p w14:paraId="71EB34FA">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《功能需求规格说明书》</w:t>
            </w:r>
            <w:r>
              <w:rPr>
                <w:rFonts w:hint="eastAsia" w:ascii="仿宋_GB2312" w:hAnsi="仿宋_GB2312" w:eastAsia="仿宋_GB2312" w:cs="仿宋_GB2312"/>
                <w:color w:val="auto"/>
                <w:sz w:val="24"/>
                <w:szCs w:val="24"/>
                <w:highlight w:val="none"/>
              </w:rPr>
              <w:tab/>
            </w:r>
          </w:p>
        </w:tc>
      </w:tr>
      <w:tr w14:paraId="2D40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74557C83">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574A3AD2">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《非功能需求规格说明书》（如有）</w:t>
            </w:r>
          </w:p>
        </w:tc>
      </w:tr>
      <w:tr w14:paraId="2DC6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822" w:type="pct"/>
            <w:vMerge w:val="restart"/>
            <w:noWrap w:val="0"/>
            <w:vAlign w:val="center"/>
          </w:tcPr>
          <w:p w14:paraId="37572F1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设计</w:t>
            </w:r>
          </w:p>
        </w:tc>
        <w:tc>
          <w:tcPr>
            <w:tcW w:w="4177" w:type="pct"/>
            <w:noWrap w:val="0"/>
            <w:vAlign w:val="top"/>
          </w:tcPr>
          <w:p w14:paraId="16E5719A">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《概要设计说明书》</w:t>
            </w:r>
          </w:p>
        </w:tc>
      </w:tr>
      <w:tr w14:paraId="3CD8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822" w:type="pct"/>
            <w:vMerge w:val="continue"/>
            <w:noWrap w:val="0"/>
            <w:vAlign w:val="center"/>
          </w:tcPr>
          <w:p w14:paraId="6C464BA9">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5F81B373">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《详细设计说明书》</w:t>
            </w:r>
          </w:p>
        </w:tc>
      </w:tr>
      <w:tr w14:paraId="5025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822" w:type="pct"/>
            <w:vMerge w:val="continue"/>
            <w:noWrap w:val="0"/>
            <w:vAlign w:val="center"/>
          </w:tcPr>
          <w:p w14:paraId="18B9DBFC">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27D6C51A">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应用系统部署架构（如有）</w:t>
            </w:r>
          </w:p>
        </w:tc>
      </w:tr>
      <w:tr w14:paraId="4D03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822" w:type="pct"/>
            <w:vMerge w:val="continue"/>
            <w:noWrap w:val="0"/>
            <w:vAlign w:val="center"/>
          </w:tcPr>
          <w:p w14:paraId="52DDDDFC">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72C47025">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基础软硬件配置清单（如有）</w:t>
            </w:r>
          </w:p>
        </w:tc>
      </w:tr>
      <w:tr w14:paraId="768B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restart"/>
            <w:noWrap w:val="0"/>
            <w:vAlign w:val="center"/>
          </w:tcPr>
          <w:p w14:paraId="371ADA7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开发</w:t>
            </w:r>
          </w:p>
        </w:tc>
        <w:tc>
          <w:tcPr>
            <w:tcW w:w="4177" w:type="pct"/>
            <w:noWrap w:val="0"/>
            <w:vAlign w:val="top"/>
          </w:tcPr>
          <w:p w14:paraId="68F52DAA">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《单元测试案例》</w:t>
            </w:r>
          </w:p>
        </w:tc>
      </w:tr>
      <w:tr w14:paraId="02C2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31FB9DEA">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70838B23">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《系统内集成测试案例》</w:t>
            </w:r>
          </w:p>
        </w:tc>
      </w:tr>
      <w:tr w14:paraId="51F9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30F3333D">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0B8C95B0">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《系统内集成测试报告》</w:t>
            </w:r>
          </w:p>
        </w:tc>
      </w:tr>
      <w:tr w14:paraId="542E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restart"/>
            <w:noWrap w:val="0"/>
            <w:vAlign w:val="center"/>
          </w:tcPr>
          <w:p w14:paraId="2226ECF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测试</w:t>
            </w:r>
          </w:p>
        </w:tc>
        <w:tc>
          <w:tcPr>
            <w:tcW w:w="4177" w:type="pct"/>
            <w:noWrap w:val="0"/>
            <w:vAlign w:val="top"/>
          </w:tcPr>
          <w:p w14:paraId="5F1C193E">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《应用组装测试案例》</w:t>
            </w:r>
          </w:p>
        </w:tc>
      </w:tr>
      <w:tr w14:paraId="0176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48F4CBB3">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66343E2D">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《应用组装测试报告》</w:t>
            </w:r>
            <w:r>
              <w:rPr>
                <w:rFonts w:hint="eastAsia" w:ascii="仿宋_GB2312" w:hAnsi="仿宋_GB2312" w:eastAsia="仿宋_GB2312" w:cs="仿宋_GB2312"/>
                <w:color w:val="auto"/>
                <w:sz w:val="24"/>
                <w:szCs w:val="24"/>
                <w:highlight w:val="none"/>
              </w:rPr>
              <w:tab/>
            </w:r>
          </w:p>
        </w:tc>
      </w:tr>
      <w:tr w14:paraId="26E6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487B5E52">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3AF0F336">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通过用户验收测试后的源代码</w:t>
            </w:r>
          </w:p>
        </w:tc>
      </w:tr>
      <w:tr w14:paraId="1C1C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restart"/>
            <w:noWrap w:val="0"/>
            <w:vAlign w:val="center"/>
          </w:tcPr>
          <w:p w14:paraId="77117D10">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业务培训</w:t>
            </w:r>
          </w:p>
        </w:tc>
        <w:tc>
          <w:tcPr>
            <w:tcW w:w="4177" w:type="pct"/>
            <w:noWrap w:val="0"/>
            <w:vAlign w:val="top"/>
          </w:tcPr>
          <w:p w14:paraId="18DA021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《培训讲义》（如有）</w:t>
            </w:r>
          </w:p>
        </w:tc>
      </w:tr>
      <w:tr w14:paraId="5620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4C98DA0F">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31FE9D40">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《用户操作手册》（如有）</w:t>
            </w:r>
          </w:p>
        </w:tc>
      </w:tr>
      <w:tr w14:paraId="772C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noWrap w:val="0"/>
            <w:vAlign w:val="center"/>
          </w:tcPr>
          <w:p w14:paraId="1E5D999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技术培训</w:t>
            </w:r>
          </w:p>
        </w:tc>
        <w:tc>
          <w:tcPr>
            <w:tcW w:w="4177" w:type="pct"/>
            <w:noWrap w:val="0"/>
            <w:vAlign w:val="top"/>
          </w:tcPr>
          <w:p w14:paraId="3DF87C9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《培训讲义》（如有）</w:t>
            </w:r>
          </w:p>
        </w:tc>
      </w:tr>
      <w:tr w14:paraId="4C6C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restart"/>
            <w:noWrap w:val="0"/>
            <w:vAlign w:val="center"/>
          </w:tcPr>
          <w:p w14:paraId="782F87D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系统投产</w:t>
            </w:r>
          </w:p>
        </w:tc>
        <w:tc>
          <w:tcPr>
            <w:tcW w:w="4177" w:type="pct"/>
            <w:noWrap w:val="0"/>
            <w:vAlign w:val="top"/>
          </w:tcPr>
          <w:p w14:paraId="21552138">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《投产任务跟踪表》（按版本）</w:t>
            </w:r>
          </w:p>
        </w:tc>
      </w:tr>
      <w:tr w14:paraId="7CC1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5D9158FE">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249A397D">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《操作控制表》</w:t>
            </w:r>
          </w:p>
        </w:tc>
      </w:tr>
      <w:tr w14:paraId="4870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53FA054F">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3392EC8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待投产的应用程序版本</w:t>
            </w:r>
          </w:p>
        </w:tc>
      </w:tr>
      <w:tr w14:paraId="474C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56133C4F">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707BBAEB">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《应急预案》（如有）</w:t>
            </w:r>
          </w:p>
        </w:tc>
      </w:tr>
      <w:tr w14:paraId="5C39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1BD74B9D">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1DA4AFE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《投产报告》（按版本）</w:t>
            </w:r>
          </w:p>
        </w:tc>
      </w:tr>
      <w:tr w14:paraId="178E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6FDF26BF">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33C42F94">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系统</w:t>
            </w:r>
            <w:r>
              <w:rPr>
                <w:rFonts w:hint="eastAsia" w:ascii="仿宋_GB2312" w:hAnsi="仿宋_GB2312" w:eastAsia="仿宋_GB2312" w:cs="仿宋_GB2312"/>
                <w:color w:val="auto"/>
                <w:sz w:val="24"/>
                <w:szCs w:val="24"/>
                <w:highlight w:val="none"/>
                <w:lang w:eastAsia="zh-CN"/>
              </w:rPr>
              <w:t>二级运维</w:t>
            </w:r>
            <w:r>
              <w:rPr>
                <w:rFonts w:hint="eastAsia" w:ascii="仿宋_GB2312" w:hAnsi="仿宋_GB2312" w:eastAsia="仿宋_GB2312" w:cs="仿宋_GB2312"/>
                <w:color w:val="auto"/>
                <w:sz w:val="24"/>
                <w:szCs w:val="24"/>
                <w:highlight w:val="none"/>
              </w:rPr>
              <w:t>手册》、《日志报错代码表》、《批量手册》、《监控手册》、《知识库》（如有）</w:t>
            </w:r>
          </w:p>
        </w:tc>
      </w:tr>
      <w:tr w14:paraId="61CE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restart"/>
            <w:noWrap w:val="0"/>
            <w:vAlign w:val="center"/>
          </w:tcPr>
          <w:p w14:paraId="414EA165">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系统应用维护</w:t>
            </w:r>
          </w:p>
        </w:tc>
        <w:tc>
          <w:tcPr>
            <w:tcW w:w="4177" w:type="pct"/>
            <w:noWrap w:val="0"/>
            <w:vAlign w:val="top"/>
          </w:tcPr>
          <w:p w14:paraId="234D0B4F">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知识转移文档：《</w:t>
            </w:r>
            <w:r>
              <w:rPr>
                <w:rFonts w:hint="eastAsia" w:ascii="仿宋_GB2312" w:hAnsi="仿宋_GB2312" w:eastAsia="仿宋_GB2312" w:cs="仿宋_GB2312"/>
                <w:color w:val="auto"/>
                <w:sz w:val="24"/>
                <w:szCs w:val="24"/>
                <w:highlight w:val="none"/>
                <w:lang w:val="en-US" w:eastAsia="zh-CN"/>
              </w:rPr>
              <w:t>系统</w:t>
            </w:r>
            <w:r>
              <w:rPr>
                <w:rFonts w:hint="eastAsia" w:ascii="仿宋_GB2312" w:hAnsi="仿宋_GB2312" w:eastAsia="仿宋_GB2312" w:cs="仿宋_GB2312"/>
                <w:color w:val="auto"/>
                <w:sz w:val="24"/>
                <w:szCs w:val="24"/>
                <w:highlight w:val="none"/>
                <w:lang w:eastAsia="zh-CN"/>
              </w:rPr>
              <w:t>二级运维</w:t>
            </w:r>
            <w:r>
              <w:rPr>
                <w:rFonts w:hint="eastAsia" w:ascii="仿宋_GB2312" w:hAnsi="仿宋_GB2312" w:eastAsia="仿宋_GB2312" w:cs="仿宋_GB2312"/>
                <w:color w:val="auto"/>
                <w:sz w:val="24"/>
                <w:szCs w:val="24"/>
                <w:highlight w:val="none"/>
              </w:rPr>
              <w:t>手册》（含《日志存储备份清理方案》等日常</w:t>
            </w:r>
            <w:r>
              <w:rPr>
                <w:rFonts w:hint="eastAsia" w:ascii="仿宋_GB2312" w:hAnsi="仿宋_GB2312" w:eastAsia="仿宋_GB2312" w:cs="仿宋_GB2312"/>
                <w:color w:val="auto"/>
                <w:sz w:val="24"/>
                <w:szCs w:val="24"/>
                <w:highlight w:val="none"/>
                <w:lang w:val="en-US" w:eastAsia="zh-CN"/>
              </w:rPr>
              <w:t>系统</w:t>
            </w:r>
            <w:r>
              <w:rPr>
                <w:rFonts w:hint="eastAsia" w:ascii="仿宋_GB2312" w:hAnsi="仿宋_GB2312" w:eastAsia="仿宋_GB2312" w:cs="仿宋_GB2312"/>
                <w:color w:val="auto"/>
                <w:sz w:val="24"/>
                <w:szCs w:val="24"/>
                <w:highlight w:val="none"/>
                <w:lang w:eastAsia="zh-CN"/>
              </w:rPr>
              <w:t>二级运维</w:t>
            </w:r>
            <w:r>
              <w:rPr>
                <w:rFonts w:hint="eastAsia" w:ascii="仿宋_GB2312" w:hAnsi="仿宋_GB2312" w:eastAsia="仿宋_GB2312" w:cs="仿宋_GB2312"/>
                <w:color w:val="auto"/>
                <w:sz w:val="24"/>
                <w:szCs w:val="24"/>
                <w:highlight w:val="none"/>
              </w:rPr>
              <w:t>的必要件）、《日志报错代码表》、《批量手册》、《监控手册》（如有）</w:t>
            </w:r>
          </w:p>
        </w:tc>
      </w:tr>
      <w:tr w14:paraId="4148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4C2B7460">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759C416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知识库（包含《上线运行问题报告和问题跟踪表》、《重大问题分析报告》（如有））</w:t>
            </w:r>
          </w:p>
        </w:tc>
      </w:tr>
      <w:tr w14:paraId="3C6D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2E0A1EC6">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0E3B2FE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《维护期总结报告》</w:t>
            </w:r>
          </w:p>
        </w:tc>
      </w:tr>
      <w:tr w14:paraId="6AF3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2" w:type="pct"/>
            <w:vMerge w:val="continue"/>
            <w:noWrap w:val="0"/>
            <w:vAlign w:val="center"/>
          </w:tcPr>
          <w:p w14:paraId="48EE0B97">
            <w:pPr>
              <w:spacing w:line="360" w:lineRule="auto"/>
              <w:rPr>
                <w:rFonts w:hint="eastAsia" w:ascii="仿宋_GB2312" w:hAnsi="仿宋_GB2312" w:eastAsia="仿宋_GB2312" w:cs="仿宋_GB2312"/>
                <w:color w:val="auto"/>
                <w:sz w:val="24"/>
                <w:szCs w:val="24"/>
                <w:highlight w:val="none"/>
              </w:rPr>
            </w:pPr>
          </w:p>
        </w:tc>
        <w:tc>
          <w:tcPr>
            <w:tcW w:w="4177" w:type="pct"/>
            <w:noWrap w:val="0"/>
            <w:vAlign w:val="top"/>
          </w:tcPr>
          <w:p w14:paraId="4516AFF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《月度运行维护报告》</w:t>
            </w:r>
          </w:p>
        </w:tc>
      </w:tr>
    </w:tbl>
    <w:p w14:paraId="1DE0C540">
      <w:pPr>
        <w:keepNext/>
        <w:keepLines/>
        <w:pageBreakBefore w:val="0"/>
        <w:widowControl w:val="0"/>
        <w:kinsoku/>
        <w:wordWrap/>
        <w:overflowPunct/>
        <w:topLinePunct w:val="0"/>
        <w:autoSpaceDE/>
        <w:autoSpaceDN/>
        <w:bidi w:val="0"/>
        <w:adjustRightInd w:val="0"/>
        <w:snapToGrid/>
        <w:spacing w:before="157" w:beforeLines="50" w:after="0" w:afterLines="0" w:line="360" w:lineRule="auto"/>
        <w:ind w:firstLine="480" w:firstLineChars="200"/>
        <w:jc w:val="both"/>
        <w:textAlignment w:val="baseline"/>
        <w:outlineLvl w:val="0"/>
        <w:rPr>
          <w:rFonts w:hint="eastAsia" w:ascii="Times New Roman" w:hAnsi="黑体" w:eastAsia="黑体" w:cs="Times New Roman"/>
          <w:b w:val="0"/>
          <w:bCs w:val="0"/>
          <w:color w:val="auto"/>
          <w:kern w:val="2"/>
          <w:sz w:val="24"/>
          <w:szCs w:val="24"/>
          <w:highlight w:val="none"/>
          <w:lang w:val="en-US" w:eastAsia="zh-CN" w:bidi="ar-SA"/>
        </w:rPr>
      </w:pPr>
      <w:bookmarkStart w:id="12" w:name="_Toc18403"/>
      <w:r>
        <w:rPr>
          <w:rFonts w:hint="eastAsia" w:ascii="Times New Roman" w:hAnsi="黑体" w:eastAsia="黑体" w:cs="Times New Roman"/>
          <w:b w:val="0"/>
          <w:bCs w:val="0"/>
          <w:color w:val="auto"/>
          <w:kern w:val="2"/>
          <w:sz w:val="24"/>
          <w:szCs w:val="24"/>
          <w:highlight w:val="none"/>
          <w:lang w:val="en-US" w:eastAsia="zh-CN" w:bidi="ar-SA"/>
        </w:rPr>
        <w:fldChar w:fldCharType="begin"/>
      </w:r>
      <w:r>
        <w:rPr>
          <w:rFonts w:hint="eastAsia" w:ascii="Times New Roman" w:hAnsi="黑体" w:eastAsia="黑体" w:cs="Times New Roman"/>
          <w:b w:val="0"/>
          <w:bCs w:val="0"/>
          <w:color w:val="auto"/>
          <w:kern w:val="2"/>
          <w:sz w:val="24"/>
          <w:szCs w:val="24"/>
          <w:highlight w:val="none"/>
          <w:lang w:val="en-US" w:eastAsia="zh-CN" w:bidi="ar-SA"/>
        </w:rPr>
        <w:instrText xml:space="preserve"> HYPERLINK \l _Toc29694 </w:instrText>
      </w:r>
      <w:r>
        <w:rPr>
          <w:rFonts w:hint="eastAsia" w:ascii="Times New Roman" w:hAnsi="黑体" w:eastAsia="黑体" w:cs="Times New Roman"/>
          <w:b w:val="0"/>
          <w:bCs w:val="0"/>
          <w:color w:val="auto"/>
          <w:kern w:val="2"/>
          <w:sz w:val="24"/>
          <w:szCs w:val="24"/>
          <w:highlight w:val="none"/>
          <w:lang w:val="en-US" w:eastAsia="zh-CN" w:bidi="ar-SA"/>
        </w:rPr>
        <w:fldChar w:fldCharType="separate"/>
      </w:r>
      <w:r>
        <w:rPr>
          <w:rFonts w:hint="eastAsia" w:ascii="Times New Roman" w:hAnsi="黑体" w:eastAsia="黑体" w:cs="Times New Roman"/>
          <w:b w:val="0"/>
          <w:bCs w:val="0"/>
          <w:color w:val="auto"/>
          <w:kern w:val="2"/>
          <w:sz w:val="24"/>
          <w:szCs w:val="24"/>
          <w:highlight w:val="none"/>
          <w:lang w:val="en-US" w:eastAsia="zh-CN" w:bidi="ar-SA"/>
        </w:rPr>
        <w:t>六、项目团队要求</w:t>
      </w:r>
      <w:r>
        <w:rPr>
          <w:rFonts w:hint="eastAsia" w:ascii="Times New Roman" w:hAnsi="黑体" w:eastAsia="黑体" w:cs="Times New Roman"/>
          <w:b w:val="0"/>
          <w:bCs w:val="0"/>
          <w:color w:val="auto"/>
          <w:kern w:val="2"/>
          <w:sz w:val="24"/>
          <w:szCs w:val="24"/>
          <w:highlight w:val="none"/>
          <w:lang w:val="en-US" w:eastAsia="zh-CN" w:bidi="ar-SA"/>
        </w:rPr>
        <w:fldChar w:fldCharType="end"/>
      </w:r>
      <w:bookmarkEnd w:id="12"/>
    </w:p>
    <w:p w14:paraId="60DB488E">
      <w:pPr>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具有项目同类系统相关实施经验；具备完成服务范围内各项工作的能力；团队中关键核心岗位人员（如项目经理）不得外包。</w:t>
      </w:r>
    </w:p>
    <w:p w14:paraId="2D03C118">
      <w:pPr>
        <w:spacing w:line="360" w:lineRule="auto"/>
        <w:ind w:firstLine="480" w:firstLineChars="200"/>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1.项目经理、关键技术人员应具有服务同类项目的工作经验，提供</w:t>
      </w:r>
      <w:r>
        <w:rPr>
          <w:rFonts w:hint="eastAsia" w:ascii="仿宋_GB2312" w:hAnsi="仿宋_GB2312" w:eastAsia="仿宋_GB2312" w:cs="仿宋_GB2312"/>
          <w:color w:val="auto"/>
          <w:sz w:val="24"/>
          <w:szCs w:val="24"/>
          <w:highlight w:val="none"/>
        </w:rPr>
        <w:t>人员简历</w:t>
      </w:r>
      <w:r>
        <w:rPr>
          <w:rFonts w:hint="eastAsia" w:ascii="仿宋_GB2312" w:hAnsi="仿宋_GB2312" w:eastAsia="仿宋_GB2312" w:cs="仿宋_GB2312"/>
          <w:color w:val="auto"/>
          <w:sz w:val="24"/>
          <w:szCs w:val="24"/>
          <w:highlight w:val="none"/>
          <w:lang w:val="en-US" w:eastAsia="zh-CN"/>
        </w:rPr>
        <w:t>。如发生更换，对替代人员的工作经验要求相同。</w:t>
      </w:r>
    </w:p>
    <w:p w14:paraId="41E53E04">
      <w:pPr>
        <w:pageBreakBefore w:val="0"/>
        <w:kinsoku/>
        <w:overflowPunct/>
        <w:topLinePunct w:val="0"/>
        <w:autoSpaceDE/>
        <w:autoSpaceDN/>
        <w:bidi w:val="0"/>
        <w:snapToGrid/>
        <w:spacing w:line="360" w:lineRule="auto"/>
        <w:ind w:firstLine="480" w:firstLineChars="200"/>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承诺已进入项目组的</w:t>
      </w:r>
      <w:r>
        <w:rPr>
          <w:rFonts w:hint="eastAsia" w:ascii="仿宋_GB2312" w:hAnsi="仿宋_GB2312" w:eastAsia="仿宋_GB2312" w:cs="仿宋_GB2312"/>
          <w:color w:val="auto"/>
          <w:sz w:val="24"/>
          <w:szCs w:val="24"/>
          <w:highlight w:val="none"/>
          <w:lang w:val="en-US" w:eastAsia="zh-CN"/>
        </w:rPr>
        <w:t>关键核心岗位</w:t>
      </w:r>
      <w:r>
        <w:rPr>
          <w:rFonts w:hint="eastAsia" w:ascii="仿宋_GB2312" w:hAnsi="仿宋_GB2312" w:eastAsia="仿宋_GB2312" w:cs="仿宋_GB2312"/>
          <w:color w:val="auto"/>
          <w:sz w:val="24"/>
          <w:szCs w:val="24"/>
          <w:highlight w:val="none"/>
        </w:rPr>
        <w:t>人员不得随意更换。如确实需要更换人员须经过</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审核通过后方可换人。同时要求新换人员必须通过</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的审核，且由</w:t>
      </w:r>
      <w:r>
        <w:rPr>
          <w:rFonts w:hint="eastAsia" w:ascii="仿宋_GB2312" w:hAnsi="仿宋_GB2312" w:eastAsia="仿宋_GB2312" w:cs="仿宋_GB2312"/>
          <w:color w:val="auto"/>
          <w:sz w:val="24"/>
          <w:szCs w:val="24"/>
          <w:highlight w:val="none"/>
          <w:lang w:val="en-US" w:eastAsia="zh-CN"/>
        </w:rPr>
        <w:t>供应商</w:t>
      </w:r>
      <w:r>
        <w:rPr>
          <w:rFonts w:hint="eastAsia" w:ascii="仿宋_GB2312" w:hAnsi="仿宋_GB2312" w:eastAsia="仿宋_GB2312" w:cs="仿宋_GB2312"/>
          <w:color w:val="auto"/>
          <w:sz w:val="24"/>
          <w:szCs w:val="24"/>
          <w:highlight w:val="none"/>
        </w:rPr>
        <w:t>保证人员更换期间工作的连续性。</w:t>
      </w:r>
      <w:r>
        <w:rPr>
          <w:rFonts w:hint="eastAsia" w:ascii="仿宋_GB2312" w:hAnsi="仿宋_GB2312" w:eastAsia="仿宋_GB2312" w:cs="仿宋_GB2312"/>
          <w:color w:val="auto"/>
          <w:sz w:val="24"/>
          <w:szCs w:val="24"/>
          <w:highlight w:val="none"/>
          <w:lang w:val="en-US" w:eastAsia="zh-CN"/>
        </w:rPr>
        <w:t>其他岗位人员如有更换需书面告知采购人，并承诺不因此降低服务质量。</w:t>
      </w:r>
    </w:p>
    <w:p w14:paraId="4254F26C">
      <w:pPr>
        <w:pageBreakBefore w:val="0"/>
        <w:kinsoku/>
        <w:overflowPunct/>
        <w:topLinePunct w:val="0"/>
        <w:autoSpaceDE/>
        <w:autoSpaceDN/>
        <w:bidi w:val="0"/>
        <w:snapToGrid/>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承诺进入</w:t>
      </w:r>
      <w:r>
        <w:rPr>
          <w:rFonts w:hint="eastAsia" w:ascii="仿宋_GB2312" w:hAnsi="仿宋_GB2312" w:eastAsia="仿宋_GB2312" w:cs="仿宋_GB2312"/>
          <w:color w:val="auto"/>
          <w:sz w:val="24"/>
          <w:szCs w:val="24"/>
          <w:highlight w:val="none"/>
          <w:lang w:val="en-US" w:eastAsia="zh-CN"/>
        </w:rPr>
        <w:t>现场服务</w:t>
      </w:r>
      <w:r>
        <w:rPr>
          <w:rFonts w:hint="eastAsia" w:ascii="仿宋_GB2312" w:hAnsi="仿宋_GB2312" w:eastAsia="仿宋_GB2312" w:cs="仿宋_GB2312"/>
          <w:color w:val="auto"/>
          <w:sz w:val="24"/>
          <w:szCs w:val="24"/>
          <w:highlight w:val="none"/>
        </w:rPr>
        <w:t>人员</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szCs w:val="24"/>
          <w:highlight w:val="none"/>
          <w:lang w:val="en-US" w:eastAsia="zh-CN"/>
        </w:rPr>
        <w:t>提供人员简历、学历证明复印件及人员相关认证资质复印件，</w:t>
      </w:r>
      <w:r>
        <w:rPr>
          <w:rFonts w:hint="eastAsia" w:ascii="仿宋" w:hAnsi="仿宋" w:eastAsia="仿宋" w:cs="仿宋"/>
          <w:color w:val="auto"/>
          <w:sz w:val="24"/>
          <w:szCs w:val="24"/>
          <w:highlight w:val="none"/>
        </w:rPr>
        <w:t>签署安全保密承诺书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_GB2312" w:hAnsi="仿宋_GB2312" w:eastAsia="仿宋_GB2312" w:cs="仿宋_GB2312"/>
          <w:color w:val="auto"/>
          <w:sz w:val="24"/>
          <w:szCs w:val="24"/>
          <w:highlight w:val="none"/>
          <w:lang w:val="en-US" w:eastAsia="zh-CN"/>
        </w:rPr>
        <w:t>满足采购人</w:t>
      </w:r>
      <w:r>
        <w:rPr>
          <w:rFonts w:hint="eastAsia" w:ascii="仿宋_GB2312" w:hAnsi="仿宋_GB2312" w:eastAsia="仿宋_GB2312" w:cs="仿宋_GB2312"/>
          <w:color w:val="auto"/>
          <w:sz w:val="24"/>
          <w:szCs w:val="24"/>
          <w:highlight w:val="none"/>
        </w:rPr>
        <w:t>管理</w:t>
      </w:r>
      <w:r>
        <w:rPr>
          <w:rFonts w:hint="eastAsia" w:ascii="仿宋_GB2312" w:hAnsi="仿宋_GB2312" w:eastAsia="仿宋_GB2312" w:cs="仿宋_GB2312"/>
          <w:color w:val="auto"/>
          <w:sz w:val="24"/>
          <w:szCs w:val="24"/>
          <w:highlight w:val="none"/>
          <w:lang w:val="en-US" w:eastAsia="zh-CN"/>
        </w:rPr>
        <w:t>要求：</w:t>
      </w:r>
    </w:p>
    <w:p w14:paraId="7703DBA6">
      <w:pPr>
        <w:pageBreakBefore w:val="0"/>
        <w:kinsoku/>
        <w:overflowPunct/>
        <w:topLinePunct w:val="0"/>
        <w:autoSpaceDE/>
        <w:autoSpaceDN/>
        <w:bidi w:val="0"/>
        <w:snapToGrid/>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（1）所有服务人员必须遵守</w:t>
      </w: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rPr>
        <w:t>作息制度和相关工作制度规定，提供5*8小时驻场服务。</w:t>
      </w:r>
    </w:p>
    <w:p w14:paraId="2772925B">
      <w:pPr>
        <w:pageBreakBefore w:val="0"/>
        <w:kinsoku/>
        <w:overflowPunct/>
        <w:topLinePunct w:val="0"/>
        <w:autoSpaceDE/>
        <w:autoSpaceDN/>
        <w:bidi w:val="0"/>
        <w:snapToGrid/>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（2）服务期间，所有服务人员必须严格按照</w:t>
      </w: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rPr>
        <w:t>各项规章制度合规开展工作；驻场服务地点为</w:t>
      </w:r>
      <w:r>
        <w:rPr>
          <w:rFonts w:hint="eastAsia" w:ascii="仿宋_GB2312" w:hAnsi="仿宋_GB2312" w:eastAsia="仿宋_GB2312" w:cs="仿宋_GB2312"/>
          <w:color w:val="auto"/>
          <w:sz w:val="24"/>
          <w:szCs w:val="24"/>
          <w:highlight w:val="none"/>
          <w:lang w:val="en-US" w:eastAsia="zh-CN"/>
        </w:rPr>
        <w:t>双方约定的</w:t>
      </w:r>
      <w:r>
        <w:rPr>
          <w:rFonts w:hint="eastAsia" w:ascii="仿宋_GB2312" w:hAnsi="仿宋_GB2312" w:eastAsia="仿宋_GB2312" w:cs="仿宋_GB2312"/>
          <w:color w:val="auto"/>
          <w:sz w:val="24"/>
          <w:szCs w:val="24"/>
          <w:highlight w:val="none"/>
        </w:rPr>
        <w:t>地点。</w:t>
      </w:r>
    </w:p>
    <w:p w14:paraId="7014F1FD">
      <w:pPr>
        <w:pageBreakBefore w:val="0"/>
        <w:kinsoku/>
        <w:overflowPunct/>
        <w:topLinePunct w:val="0"/>
        <w:autoSpaceDE/>
        <w:autoSpaceDN/>
        <w:bidi w:val="0"/>
        <w:snapToGrid/>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（3）任何</w:t>
      </w:r>
      <w:r>
        <w:rPr>
          <w:rFonts w:hint="eastAsia" w:ascii="仿宋_GB2312" w:hAnsi="仿宋_GB2312" w:eastAsia="仿宋_GB2312" w:cs="仿宋_GB2312"/>
          <w:color w:val="auto"/>
          <w:sz w:val="24"/>
          <w:szCs w:val="24"/>
          <w:highlight w:val="none"/>
          <w:lang w:val="en-US" w:eastAsia="zh-CN"/>
        </w:rPr>
        <w:t>服务</w:t>
      </w:r>
      <w:r>
        <w:rPr>
          <w:rFonts w:hint="eastAsia" w:ascii="仿宋_GB2312" w:hAnsi="仿宋_GB2312" w:eastAsia="仿宋_GB2312" w:cs="仿宋_GB2312"/>
          <w:color w:val="auto"/>
          <w:sz w:val="24"/>
          <w:szCs w:val="24"/>
          <w:highlight w:val="none"/>
        </w:rPr>
        <w:t>人员不得随意更换。如果更换人员则</w:t>
      </w:r>
      <w:r>
        <w:rPr>
          <w:rFonts w:hint="eastAsia" w:ascii="仿宋_GB2312" w:hAnsi="仿宋_GB2312" w:eastAsia="仿宋_GB2312" w:cs="仿宋_GB2312"/>
          <w:color w:val="auto"/>
          <w:sz w:val="24"/>
          <w:szCs w:val="24"/>
          <w:highlight w:val="none"/>
          <w:lang w:val="en-US" w:eastAsia="zh-CN"/>
        </w:rPr>
        <w:t>供应商</w:t>
      </w:r>
      <w:r>
        <w:rPr>
          <w:rFonts w:hint="eastAsia" w:ascii="仿宋_GB2312" w:hAnsi="仿宋_GB2312" w:eastAsia="仿宋_GB2312" w:cs="仿宋_GB2312"/>
          <w:color w:val="auto"/>
          <w:sz w:val="24"/>
          <w:szCs w:val="24"/>
          <w:highlight w:val="none"/>
        </w:rPr>
        <w:t>应提前</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个月通知</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，并经过</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审核通过后方可换人。同时要求新换人员必须通过</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的审核，且由</w:t>
      </w:r>
      <w:r>
        <w:rPr>
          <w:rFonts w:hint="eastAsia" w:ascii="仿宋_GB2312" w:hAnsi="仿宋_GB2312" w:eastAsia="仿宋_GB2312" w:cs="仿宋_GB2312"/>
          <w:color w:val="auto"/>
          <w:sz w:val="24"/>
          <w:szCs w:val="24"/>
          <w:highlight w:val="none"/>
          <w:lang w:val="en-US" w:eastAsia="zh-CN"/>
        </w:rPr>
        <w:t>供应商</w:t>
      </w:r>
      <w:r>
        <w:rPr>
          <w:rFonts w:hint="eastAsia" w:ascii="仿宋_GB2312" w:hAnsi="仿宋_GB2312" w:eastAsia="仿宋_GB2312" w:cs="仿宋_GB2312"/>
          <w:color w:val="auto"/>
          <w:sz w:val="24"/>
          <w:szCs w:val="24"/>
          <w:highlight w:val="none"/>
        </w:rPr>
        <w:t>保证人员更换期间支持工作的连续性；</w:t>
      </w:r>
    </w:p>
    <w:p w14:paraId="234EF2FE">
      <w:pPr>
        <w:pageBreakBefore w:val="0"/>
        <w:kinsoku/>
        <w:overflowPunct/>
        <w:topLinePunct w:val="0"/>
        <w:autoSpaceDE/>
        <w:autoSpaceDN/>
        <w:bidi w:val="0"/>
        <w:snapToGrid/>
        <w:spacing w:line="360"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（4）如果支持人员因违反</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工作纪律或相关运行制度，并给</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造成了损失，则</w:t>
      </w:r>
      <w:r>
        <w:rPr>
          <w:rFonts w:hint="eastAsia" w:ascii="仿宋_GB2312" w:hAnsi="仿宋_GB2312" w:eastAsia="仿宋_GB2312" w:cs="仿宋_GB2312"/>
          <w:color w:val="auto"/>
          <w:sz w:val="24"/>
          <w:szCs w:val="24"/>
          <w:highlight w:val="none"/>
          <w:lang w:val="en-US" w:eastAsia="zh-CN"/>
        </w:rPr>
        <w:t>供应商</w:t>
      </w:r>
      <w:r>
        <w:rPr>
          <w:rFonts w:hint="eastAsia" w:ascii="仿宋_GB2312" w:hAnsi="仿宋_GB2312" w:eastAsia="仿宋_GB2312" w:cs="仿宋_GB2312"/>
          <w:color w:val="auto"/>
          <w:sz w:val="24"/>
          <w:szCs w:val="24"/>
          <w:highlight w:val="none"/>
        </w:rPr>
        <w:t>有责任进行赔偿，具体赔偿标准见合同。</w:t>
      </w:r>
    </w:p>
    <w:p w14:paraId="34E2457D">
      <w:pPr>
        <w:pageBreakBefore w:val="0"/>
        <w:kinsoku/>
        <w:overflowPunct/>
        <w:topLinePunct w:val="0"/>
        <w:autoSpaceDE/>
        <w:autoSpaceDN/>
        <w:bidi w:val="0"/>
        <w:snapToGrid/>
        <w:spacing w:line="360" w:lineRule="auto"/>
        <w:ind w:firstLine="480" w:firstLineChars="200"/>
        <w:rPr>
          <w:rFonts w:ascii="Times New Roman" w:hAnsi="黑体" w:eastAsia="黑体" w:cs="Times New Roman"/>
          <w:b w:val="0"/>
          <w:bCs w:val="0"/>
          <w:color w:val="auto"/>
          <w:sz w:val="24"/>
          <w:szCs w:val="24"/>
          <w:highlight w:val="none"/>
        </w:rPr>
      </w:pPr>
      <w:r>
        <w:rPr>
          <w:rFonts w:hint="eastAsia" w:ascii="仿宋_GB2312" w:hAnsi="仿宋_GB2312" w:eastAsia="仿宋_GB2312" w:cs="仿宋_GB2312"/>
          <w:color w:val="auto"/>
          <w:sz w:val="24"/>
          <w:szCs w:val="24"/>
          <w:highlight w:val="none"/>
        </w:rPr>
        <w:t>（5）根据支持效果，对于不能够胜任支持工作的人员，</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有权利要求</w:t>
      </w:r>
      <w:r>
        <w:rPr>
          <w:rFonts w:hint="eastAsia" w:ascii="仿宋_GB2312" w:hAnsi="仿宋_GB2312" w:eastAsia="仿宋_GB2312" w:cs="仿宋_GB2312"/>
          <w:color w:val="auto"/>
          <w:sz w:val="24"/>
          <w:szCs w:val="24"/>
          <w:highlight w:val="none"/>
          <w:lang w:val="en-US" w:eastAsia="zh-CN"/>
        </w:rPr>
        <w:t>供应商</w:t>
      </w:r>
      <w:r>
        <w:rPr>
          <w:rFonts w:hint="eastAsia" w:ascii="仿宋_GB2312" w:hAnsi="仿宋_GB2312" w:eastAsia="仿宋_GB2312" w:cs="仿宋_GB2312"/>
          <w:color w:val="auto"/>
          <w:sz w:val="24"/>
          <w:szCs w:val="24"/>
          <w:highlight w:val="none"/>
        </w:rPr>
        <w:t>重新进行调换。同时</w:t>
      </w:r>
      <w:r>
        <w:rPr>
          <w:rFonts w:hint="eastAsia" w:ascii="仿宋_GB2312" w:hAnsi="仿宋_GB2312" w:eastAsia="仿宋_GB2312" w:cs="仿宋_GB2312"/>
          <w:color w:val="auto"/>
          <w:sz w:val="24"/>
          <w:szCs w:val="24"/>
          <w:highlight w:val="none"/>
          <w:lang w:val="en-US" w:eastAsia="zh-CN"/>
        </w:rPr>
        <w:t>由供应商</w:t>
      </w:r>
      <w:r>
        <w:rPr>
          <w:rFonts w:hint="eastAsia" w:ascii="仿宋_GB2312" w:hAnsi="仿宋_GB2312" w:eastAsia="仿宋_GB2312" w:cs="仿宋_GB2312"/>
          <w:color w:val="auto"/>
          <w:sz w:val="24"/>
          <w:szCs w:val="24"/>
          <w:highlight w:val="none"/>
        </w:rPr>
        <w:t>保证人员更换期间支持工作的连续性。</w:t>
      </w:r>
    </w:p>
    <w:p w14:paraId="7A96C094">
      <w:pPr>
        <w:keepNext/>
        <w:keepLines/>
        <w:pageBreakBefore w:val="0"/>
        <w:widowControl w:val="0"/>
        <w:kinsoku/>
        <w:wordWrap/>
        <w:overflowPunct/>
        <w:topLinePunct w:val="0"/>
        <w:autoSpaceDE/>
        <w:autoSpaceDN/>
        <w:bidi w:val="0"/>
        <w:adjustRightInd w:val="0"/>
        <w:snapToGrid/>
        <w:spacing w:before="0" w:beforeLines="0" w:after="0" w:afterLines="0" w:line="360" w:lineRule="auto"/>
        <w:ind w:firstLine="480" w:firstLineChars="200"/>
        <w:jc w:val="both"/>
        <w:textAlignment w:val="baseline"/>
        <w:outlineLvl w:val="0"/>
        <w:rPr>
          <w:rFonts w:hint="eastAsia" w:ascii="Times New Roman" w:hAnsi="黑体" w:eastAsia="黑体" w:cs="Times New Roman"/>
          <w:b w:val="0"/>
          <w:bCs w:val="0"/>
          <w:color w:val="auto"/>
          <w:kern w:val="2"/>
          <w:sz w:val="24"/>
          <w:szCs w:val="24"/>
          <w:highlight w:val="none"/>
          <w:lang w:val="en-US" w:eastAsia="zh-CN" w:bidi="ar-SA"/>
        </w:rPr>
      </w:pPr>
      <w:bookmarkStart w:id="13" w:name="_Toc1526"/>
      <w:bookmarkStart w:id="14" w:name="_Toc19430"/>
      <w:r>
        <w:rPr>
          <w:rFonts w:hint="eastAsia" w:ascii="Times New Roman" w:hAnsi="黑体" w:eastAsia="黑体" w:cs="Times New Roman"/>
          <w:b w:val="0"/>
          <w:bCs w:val="0"/>
          <w:color w:val="auto"/>
          <w:kern w:val="2"/>
          <w:sz w:val="24"/>
          <w:szCs w:val="24"/>
          <w:highlight w:val="none"/>
          <w:lang w:val="en-US" w:eastAsia="zh-CN" w:bidi="ar-SA"/>
        </w:rPr>
        <w:t>七、安全要求</w:t>
      </w:r>
      <w:bookmarkEnd w:id="13"/>
      <w:bookmarkEnd w:id="14"/>
    </w:p>
    <w:p w14:paraId="58DC6BC4">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hint="eastAsia"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rPr>
        <w:t>在未征得</w:t>
      </w:r>
      <w:r>
        <w:rPr>
          <w:rFonts w:hint="eastAsia" w:ascii="Times New Roman" w:hAnsi="Times New Roman" w:eastAsia="仿宋_GB2312" w:cs="Times New Roman"/>
          <w:color w:val="auto"/>
          <w:sz w:val="24"/>
          <w:szCs w:val="24"/>
          <w:highlight w:val="none"/>
          <w:lang w:val="en-US" w:eastAsia="zh-CN"/>
        </w:rPr>
        <w:t>采购人</w:t>
      </w:r>
      <w:r>
        <w:rPr>
          <w:rFonts w:hint="eastAsia" w:ascii="Times New Roman" w:hAnsi="Times New Roman" w:eastAsia="仿宋_GB2312" w:cs="Times New Roman"/>
          <w:color w:val="auto"/>
          <w:sz w:val="24"/>
          <w:szCs w:val="24"/>
          <w:highlight w:val="none"/>
        </w:rPr>
        <w:t>同意的情况下，</w:t>
      </w:r>
      <w:r>
        <w:rPr>
          <w:rFonts w:hint="eastAsia" w:ascii="Times New Roman" w:hAnsi="Times New Roman" w:eastAsia="仿宋_GB2312" w:cs="Times New Roman"/>
          <w:color w:val="auto"/>
          <w:sz w:val="24"/>
          <w:szCs w:val="24"/>
          <w:highlight w:val="none"/>
          <w:lang w:val="en-US" w:eastAsia="zh-CN"/>
        </w:rPr>
        <w:t>供应商</w:t>
      </w:r>
      <w:r>
        <w:rPr>
          <w:rFonts w:hint="eastAsia" w:ascii="Times New Roman" w:hAnsi="Times New Roman" w:eastAsia="仿宋_GB2312" w:cs="Times New Roman"/>
          <w:color w:val="auto"/>
          <w:sz w:val="24"/>
          <w:szCs w:val="24"/>
          <w:highlight w:val="none"/>
        </w:rPr>
        <w:t>供应商必须保证所提供的人员能够严格遵守各项规章制度，主要包括但不限于以下内容：</w:t>
      </w:r>
    </w:p>
    <w:p w14:paraId="3B8A0C62">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hint="eastAsia"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一</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rPr>
        <w:t>法律合规方面，应有效规避实施过程中给</w:t>
      </w:r>
      <w:r>
        <w:rPr>
          <w:rFonts w:hint="eastAsia" w:ascii="Times New Roman" w:hAnsi="Times New Roman" w:eastAsia="仿宋_GB2312" w:cs="Times New Roman"/>
          <w:color w:val="auto"/>
          <w:sz w:val="24"/>
          <w:szCs w:val="24"/>
          <w:highlight w:val="none"/>
          <w:lang w:val="en-US" w:eastAsia="zh-CN"/>
        </w:rPr>
        <w:t>采购人</w:t>
      </w:r>
      <w:r>
        <w:rPr>
          <w:rFonts w:hint="eastAsia" w:ascii="Times New Roman" w:hAnsi="Times New Roman" w:eastAsia="仿宋_GB2312" w:cs="Times New Roman"/>
          <w:color w:val="auto"/>
          <w:sz w:val="24"/>
          <w:szCs w:val="24"/>
          <w:highlight w:val="none"/>
        </w:rPr>
        <w:t>带来的法律风险。</w:t>
      </w:r>
    </w:p>
    <w:p w14:paraId="428EA4A0">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hint="eastAsia"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二</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rPr>
        <w:t>信息</w:t>
      </w:r>
      <w:r>
        <w:rPr>
          <w:rFonts w:hint="eastAsia" w:ascii="Times New Roman" w:hAnsi="Times New Roman" w:eastAsia="仿宋_GB2312" w:cs="Times New Roman"/>
          <w:color w:val="auto"/>
          <w:sz w:val="24"/>
          <w:szCs w:val="24"/>
          <w:highlight w:val="none"/>
          <w:lang w:val="en-US" w:eastAsia="zh-CN"/>
        </w:rPr>
        <w:t>安全</w:t>
      </w:r>
      <w:r>
        <w:rPr>
          <w:rFonts w:hint="eastAsia" w:ascii="Times New Roman" w:hAnsi="Times New Roman" w:eastAsia="仿宋_GB2312" w:cs="Times New Roman"/>
          <w:color w:val="auto"/>
          <w:sz w:val="24"/>
          <w:szCs w:val="24"/>
          <w:highlight w:val="none"/>
        </w:rPr>
        <w:t>方面，应有效规避因服务人员导致的银行信息（如业务数据和商务信息等）泄漏风险。</w:t>
      </w:r>
    </w:p>
    <w:p w14:paraId="7D5DA4FE">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hint="eastAsia"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三</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rPr>
        <w:t>生产安全方面，应严格规避因人员操作不当，导致的银行系统出现安全性和稳定性风险事件。</w:t>
      </w:r>
    </w:p>
    <w:p w14:paraId="02FF4110">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hint="eastAsia"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四</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rPr>
        <w:t>安全审计方面</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rPr>
        <w:t>应确保针对银行设备的相关操作留有纸质或视频记录。</w:t>
      </w:r>
    </w:p>
    <w:p w14:paraId="5A52C685">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ascii="Times New Roman" w:hAnsi="Times New Roman" w:eastAsia="宋体"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五</w:t>
      </w:r>
      <w:r>
        <w:rPr>
          <w:rFonts w:hint="eastAsia"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保密</w:t>
      </w:r>
      <w:r>
        <w:rPr>
          <w:rFonts w:hint="eastAsia" w:ascii="Times New Roman" w:hAnsi="Times New Roman" w:eastAsia="仿宋_GB2312" w:cs="Times New Roman"/>
          <w:b w:val="0"/>
          <w:bCs w:val="0"/>
          <w:color w:val="auto"/>
          <w:sz w:val="24"/>
          <w:szCs w:val="24"/>
          <w:highlight w:val="none"/>
          <w:lang w:val="en-US" w:eastAsia="zh-CN"/>
        </w:rPr>
        <w:t>要求方面，</w:t>
      </w:r>
      <w:r>
        <w:rPr>
          <w:rFonts w:hint="default" w:ascii="Times New Roman" w:hAnsi="Times New Roman" w:eastAsia="仿宋_GB2312" w:cs="Times New Roman"/>
          <w:color w:val="auto"/>
          <w:sz w:val="24"/>
          <w:szCs w:val="24"/>
          <w:highlight w:val="none"/>
        </w:rPr>
        <w:t>供应商对项目实施中涉及到的相关数据、资料、文档等具有保密的义务，并应按照相应保密规定执行。本项目所形成的数据成果归</w:t>
      </w:r>
      <w:r>
        <w:rPr>
          <w:rFonts w:hint="eastAsia" w:ascii="Times New Roman" w:hAnsi="Times New Roman" w:eastAsia="仿宋_GB2312" w:cs="Times New Roman"/>
          <w:color w:val="auto"/>
          <w:sz w:val="24"/>
          <w:szCs w:val="24"/>
          <w:highlight w:val="none"/>
          <w:lang w:val="en-US" w:eastAsia="zh-CN"/>
        </w:rPr>
        <w:t>采购人</w:t>
      </w:r>
      <w:r>
        <w:rPr>
          <w:rFonts w:hint="default" w:ascii="Times New Roman" w:hAnsi="Times New Roman" w:eastAsia="仿宋_GB2312" w:cs="Times New Roman"/>
          <w:color w:val="auto"/>
          <w:sz w:val="24"/>
          <w:szCs w:val="24"/>
          <w:highlight w:val="none"/>
        </w:rPr>
        <w:t>所有。未经</w:t>
      </w:r>
      <w:r>
        <w:rPr>
          <w:rFonts w:hint="eastAsia" w:ascii="Times New Roman" w:hAnsi="Times New Roman" w:eastAsia="仿宋_GB2312" w:cs="Times New Roman"/>
          <w:color w:val="auto"/>
          <w:sz w:val="24"/>
          <w:szCs w:val="24"/>
          <w:highlight w:val="none"/>
          <w:lang w:val="en-US" w:eastAsia="zh-CN"/>
        </w:rPr>
        <w:t>采购人</w:t>
      </w:r>
      <w:r>
        <w:rPr>
          <w:rFonts w:hint="default" w:ascii="Times New Roman" w:hAnsi="Times New Roman" w:eastAsia="仿宋_GB2312" w:cs="Times New Roman"/>
          <w:color w:val="auto"/>
          <w:sz w:val="24"/>
          <w:szCs w:val="24"/>
          <w:highlight w:val="none"/>
        </w:rPr>
        <w:t>同意，供应商</w:t>
      </w:r>
      <w:r>
        <w:rPr>
          <w:rFonts w:hint="eastAsia" w:ascii="Times New Roman" w:hAnsi="Times New Roman" w:eastAsia="仿宋_GB2312" w:cs="Times New Roman"/>
          <w:color w:val="auto"/>
          <w:sz w:val="24"/>
          <w:szCs w:val="24"/>
          <w:highlight w:val="none"/>
        </w:rPr>
        <w:t>不得向第三方泄露、公开或用于提供法律服务之外的其他目的</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rPr>
        <w:t>对掌握的</w:t>
      </w:r>
      <w:r>
        <w:rPr>
          <w:rFonts w:hint="eastAsia" w:ascii="Times New Roman" w:hAnsi="Times New Roman" w:eastAsia="仿宋_GB2312" w:cs="Times New Roman"/>
          <w:color w:val="auto"/>
          <w:sz w:val="24"/>
          <w:szCs w:val="24"/>
          <w:highlight w:val="none"/>
          <w:lang w:val="en-US" w:eastAsia="zh-CN"/>
        </w:rPr>
        <w:t>采购人</w:t>
      </w:r>
      <w:r>
        <w:rPr>
          <w:rFonts w:hint="eastAsia" w:ascii="Times New Roman" w:hAnsi="Times New Roman" w:eastAsia="仿宋_GB2312" w:cs="Times New Roman"/>
          <w:color w:val="auto"/>
          <w:sz w:val="24"/>
          <w:szCs w:val="24"/>
          <w:highlight w:val="none"/>
        </w:rPr>
        <w:t>、</w:t>
      </w:r>
      <w:r>
        <w:rPr>
          <w:rFonts w:hint="eastAsia" w:ascii="Times New Roman" w:hAnsi="Times New Roman" w:eastAsia="仿宋_GB2312" w:cs="Times New Roman"/>
          <w:color w:val="auto"/>
          <w:sz w:val="24"/>
          <w:szCs w:val="24"/>
          <w:highlight w:val="none"/>
          <w:lang w:val="en-US" w:eastAsia="zh-CN"/>
        </w:rPr>
        <w:t>采购人</w:t>
      </w:r>
      <w:r>
        <w:rPr>
          <w:rFonts w:hint="eastAsia" w:ascii="Times New Roman" w:hAnsi="Times New Roman" w:eastAsia="仿宋_GB2312" w:cs="Times New Roman"/>
          <w:color w:val="auto"/>
          <w:sz w:val="24"/>
          <w:szCs w:val="24"/>
          <w:highlight w:val="none"/>
        </w:rPr>
        <w:t>客户的资料，</w:t>
      </w:r>
      <w:r>
        <w:rPr>
          <w:rFonts w:hint="eastAsia" w:ascii="Times New Roman" w:hAnsi="Times New Roman" w:eastAsia="仿宋_GB2312" w:cs="Times New Roman"/>
          <w:color w:val="auto"/>
          <w:sz w:val="24"/>
          <w:szCs w:val="24"/>
          <w:highlight w:val="none"/>
          <w:lang w:val="en-US" w:eastAsia="zh-CN"/>
        </w:rPr>
        <w:t>供应商</w:t>
      </w:r>
      <w:r>
        <w:rPr>
          <w:rFonts w:hint="eastAsia" w:ascii="Times New Roman" w:hAnsi="Times New Roman" w:eastAsia="仿宋_GB2312" w:cs="Times New Roman"/>
          <w:color w:val="auto"/>
          <w:sz w:val="24"/>
          <w:szCs w:val="24"/>
          <w:highlight w:val="none"/>
        </w:rPr>
        <w:t>应采取措施与其他客户资料施行有效隔离。</w:t>
      </w:r>
    </w:p>
    <w:p w14:paraId="7D018088">
      <w:pPr>
        <w:keepNext/>
        <w:keepLines/>
        <w:pageBreakBefore w:val="0"/>
        <w:widowControl w:val="0"/>
        <w:kinsoku/>
        <w:wordWrap/>
        <w:overflowPunct/>
        <w:topLinePunct w:val="0"/>
        <w:autoSpaceDE/>
        <w:autoSpaceDN/>
        <w:bidi w:val="0"/>
        <w:adjustRightInd w:val="0"/>
        <w:snapToGrid/>
        <w:spacing w:before="157" w:beforeLines="50" w:after="0" w:afterLines="0" w:line="360" w:lineRule="auto"/>
        <w:ind w:firstLine="480" w:firstLineChars="200"/>
        <w:jc w:val="both"/>
        <w:textAlignment w:val="baseline"/>
        <w:outlineLvl w:val="0"/>
        <w:rPr>
          <w:rFonts w:ascii="Times New Roman" w:hAnsi="Times New Roman" w:eastAsia="黑体" w:cs="Times New Roman"/>
          <w:b w:val="0"/>
          <w:bCs w:val="0"/>
          <w:color w:val="auto"/>
          <w:kern w:val="2"/>
          <w:sz w:val="24"/>
          <w:szCs w:val="24"/>
          <w:highlight w:val="none"/>
          <w:lang w:val="en-US" w:eastAsia="zh-CN" w:bidi="ar-SA"/>
        </w:rPr>
      </w:pPr>
      <w:bookmarkStart w:id="15" w:name="_Toc7482"/>
      <w:bookmarkStart w:id="16" w:name="_Toc21831"/>
      <w:bookmarkStart w:id="17" w:name="_Toc32301"/>
      <w:bookmarkStart w:id="18" w:name="_Toc29815"/>
      <w:bookmarkStart w:id="19" w:name="_Toc8242"/>
      <w:r>
        <w:rPr>
          <w:rFonts w:hint="eastAsia" w:ascii="Times New Roman" w:hAnsi="黑体" w:eastAsia="黑体" w:cs="Times New Roman"/>
          <w:b w:val="0"/>
          <w:bCs w:val="0"/>
          <w:color w:val="auto"/>
          <w:kern w:val="2"/>
          <w:sz w:val="24"/>
          <w:szCs w:val="24"/>
          <w:highlight w:val="none"/>
          <w:lang w:val="en-US" w:eastAsia="zh-CN" w:bidi="ar-SA"/>
        </w:rPr>
        <w:t>八</w:t>
      </w:r>
      <w:r>
        <w:rPr>
          <w:rFonts w:ascii="Times New Roman" w:hAnsi="黑体" w:eastAsia="黑体" w:cs="Times New Roman"/>
          <w:b w:val="0"/>
          <w:bCs w:val="0"/>
          <w:color w:val="auto"/>
          <w:kern w:val="2"/>
          <w:sz w:val="24"/>
          <w:szCs w:val="24"/>
          <w:highlight w:val="none"/>
          <w:lang w:val="en-US" w:eastAsia="zh-CN" w:bidi="ar-SA"/>
        </w:rPr>
        <w:t>、交付或实施时间、地点</w:t>
      </w:r>
      <w:bookmarkEnd w:id="15"/>
      <w:bookmarkEnd w:id="16"/>
    </w:p>
    <w:p w14:paraId="68AB369A">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hint="eastAsia" w:ascii="楷体_GB2312" w:hAnsi="楷体_GB2312" w:eastAsia="楷体_GB2312" w:cs="楷体_GB2312"/>
          <w:color w:val="auto"/>
          <w:sz w:val="24"/>
          <w:szCs w:val="24"/>
          <w:highlight w:val="none"/>
        </w:rPr>
      </w:pPr>
      <w:r>
        <w:rPr>
          <w:rFonts w:hint="eastAsia" w:ascii="楷体_GB2312" w:hAnsi="楷体_GB2312" w:eastAsia="楷体_GB2312" w:cs="楷体_GB2312"/>
          <w:color w:val="auto"/>
          <w:sz w:val="24"/>
          <w:szCs w:val="24"/>
          <w:highlight w:val="none"/>
          <w:lang w:val="en-US" w:eastAsia="zh-CN"/>
        </w:rPr>
        <w:t>（一）</w:t>
      </w:r>
      <w:r>
        <w:rPr>
          <w:rFonts w:hint="eastAsia" w:ascii="楷体_GB2312" w:hAnsi="楷体_GB2312" w:eastAsia="楷体_GB2312" w:cs="楷体_GB2312"/>
          <w:color w:val="auto"/>
          <w:sz w:val="24"/>
          <w:szCs w:val="24"/>
          <w:highlight w:val="none"/>
        </w:rPr>
        <w:t>项目周期</w:t>
      </w:r>
    </w:p>
    <w:p w14:paraId="71E01B99">
      <w:pPr>
        <w:pageBreakBefore w:val="0"/>
        <w:widowControl/>
        <w:kinsoku/>
        <w:overflowPunct/>
        <w:topLinePunct w:val="0"/>
        <w:autoSpaceDE/>
        <w:autoSpaceDN/>
        <w:bidi w:val="0"/>
        <w:adjustRightInd w:val="0"/>
        <w:snapToGrid/>
        <w:spacing w:beforeLines="0" w:afterLines="0" w:line="360" w:lineRule="auto"/>
        <w:ind w:firstLine="480" w:firstLineChars="200"/>
        <w:textAlignment w:val="baseline"/>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rPr>
        <w:t>合同签署后</w:t>
      </w:r>
      <w:r>
        <w:rPr>
          <w:rFonts w:hint="eastAsia" w:ascii="仿宋_GB2312" w:hAnsi="仿宋_GB2312" w:eastAsia="仿宋_GB2312" w:cs="仿宋_GB2312"/>
          <w:b w:val="0"/>
          <w:bCs/>
          <w:color w:val="auto"/>
          <w:kern w:val="2"/>
          <w:sz w:val="24"/>
          <w:szCs w:val="24"/>
          <w:highlight w:val="none"/>
          <w:lang w:val="en-US" w:eastAsia="zh-CN" w:bidi="ar-SA"/>
        </w:rPr>
        <w:t>与普惠系统建设一并</w:t>
      </w:r>
      <w:r>
        <w:rPr>
          <w:rFonts w:hint="eastAsia" w:ascii="仿宋_GB2312" w:hAnsi="仿宋_GB2312" w:eastAsia="仿宋_GB2312" w:cs="仿宋_GB2312"/>
          <w:color w:val="auto"/>
          <w:sz w:val="24"/>
          <w:szCs w:val="24"/>
          <w:highlight w:val="none"/>
          <w:lang w:val="en-US" w:eastAsia="zh-CN"/>
        </w:rPr>
        <w:t>完成投产上线，</w:t>
      </w:r>
      <w:r>
        <w:rPr>
          <w:rFonts w:hint="eastAsia" w:ascii="Times New Roman" w:hAnsi="Times New Roman" w:eastAsia="仿宋_GB2312" w:cs="Times New Roman"/>
          <w:color w:val="auto"/>
          <w:sz w:val="24"/>
          <w:szCs w:val="24"/>
          <w:highlight w:val="none"/>
        </w:rPr>
        <w:t>至免费维保期（</w:t>
      </w:r>
      <w:r>
        <w:rPr>
          <w:rFonts w:hint="eastAsia" w:ascii="Times New Roman" w:hAnsi="Times New Roman" w:eastAsia="仿宋_GB2312" w:cs="Times New Roman"/>
          <w:color w:val="auto"/>
          <w:sz w:val="24"/>
          <w:szCs w:val="24"/>
          <w:highlight w:val="none"/>
          <w:lang w:val="en-US" w:eastAsia="zh-CN"/>
        </w:rPr>
        <w:t>3</w:t>
      </w:r>
      <w:r>
        <w:rPr>
          <w:rFonts w:hint="eastAsia" w:ascii="Times New Roman" w:hAnsi="Times New Roman" w:eastAsia="仿宋_GB2312" w:cs="Times New Roman"/>
          <w:color w:val="auto"/>
          <w:sz w:val="24"/>
          <w:szCs w:val="24"/>
          <w:highlight w:val="none"/>
        </w:rPr>
        <w:t>个月重保期结束后</w:t>
      </w:r>
      <w:r>
        <w:rPr>
          <w:rFonts w:hint="eastAsia" w:ascii="Times New Roman" w:hAnsi="Times New Roman" w:eastAsia="仿宋_GB2312" w:cs="Times New Roman"/>
          <w:color w:val="auto"/>
          <w:sz w:val="24"/>
          <w:szCs w:val="24"/>
          <w:highlight w:val="none"/>
          <w:lang w:val="en-US" w:eastAsia="zh-CN"/>
        </w:rPr>
        <w:t>12</w:t>
      </w:r>
      <w:r>
        <w:rPr>
          <w:rFonts w:hint="eastAsia" w:ascii="Times New Roman" w:hAnsi="Times New Roman" w:eastAsia="仿宋_GB2312" w:cs="Times New Roman"/>
          <w:color w:val="auto"/>
          <w:sz w:val="24"/>
          <w:szCs w:val="24"/>
          <w:highlight w:val="none"/>
        </w:rPr>
        <w:t>个月）结束。</w:t>
      </w:r>
    </w:p>
    <w:p w14:paraId="06946F67">
      <w:pPr>
        <w:pageBreakBefore w:val="0"/>
        <w:widowControl/>
        <w:kinsoku/>
        <w:overflowPunct/>
        <w:topLinePunct w:val="0"/>
        <w:autoSpaceDE/>
        <w:autoSpaceDN/>
        <w:bidi w:val="0"/>
        <w:adjustRightInd w:val="0"/>
        <w:snapToGrid/>
        <w:spacing w:beforeLines="0" w:afterLines="0" w:line="360" w:lineRule="auto"/>
        <w:ind w:firstLine="480" w:firstLineChars="200"/>
        <w:textAlignment w:val="baseline"/>
        <w:rPr>
          <w:rFonts w:hint="eastAsia" w:ascii="楷体_GB2312" w:hAnsi="楷体_GB2312" w:eastAsia="楷体_GB2312" w:cs="楷体_GB2312"/>
          <w:color w:val="auto"/>
          <w:sz w:val="24"/>
          <w:szCs w:val="24"/>
          <w:highlight w:val="none"/>
        </w:rPr>
      </w:pPr>
      <w:r>
        <w:rPr>
          <w:rFonts w:hint="eastAsia" w:ascii="楷体_GB2312" w:hAnsi="楷体_GB2312" w:eastAsia="楷体_GB2312" w:cs="楷体_GB2312"/>
          <w:color w:val="auto"/>
          <w:sz w:val="24"/>
          <w:szCs w:val="24"/>
          <w:highlight w:val="none"/>
          <w:lang w:val="en-US" w:eastAsia="zh-CN"/>
        </w:rPr>
        <w:t>（二）</w:t>
      </w:r>
      <w:r>
        <w:rPr>
          <w:rFonts w:hint="eastAsia" w:ascii="楷体_GB2312" w:hAnsi="楷体_GB2312" w:eastAsia="楷体_GB2312" w:cs="楷体_GB2312"/>
          <w:color w:val="auto"/>
          <w:sz w:val="24"/>
          <w:szCs w:val="24"/>
          <w:highlight w:val="none"/>
        </w:rPr>
        <w:t>服务地点</w:t>
      </w:r>
    </w:p>
    <w:p w14:paraId="282A1D60">
      <w:pPr>
        <w:pageBreakBefore w:val="0"/>
        <w:widowControl/>
        <w:kinsoku/>
        <w:overflowPunct/>
        <w:topLinePunct w:val="0"/>
        <w:autoSpaceDE/>
        <w:autoSpaceDN/>
        <w:bidi w:val="0"/>
        <w:adjustRightInd w:val="0"/>
        <w:snapToGrid/>
        <w:spacing w:beforeLines="0" w:afterLines="0" w:line="360" w:lineRule="auto"/>
        <w:ind w:firstLine="480" w:firstLineChars="200"/>
        <w:textAlignment w:val="baseline"/>
        <w:rPr>
          <w:rFonts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采购人指定地点</w:t>
      </w:r>
      <w:r>
        <w:rPr>
          <w:rFonts w:ascii="Times New Roman" w:hAnsi="Times New Roman" w:eastAsia="仿宋_GB2312" w:cs="Times New Roman"/>
          <w:color w:val="auto"/>
          <w:sz w:val="24"/>
          <w:szCs w:val="24"/>
          <w:highlight w:val="none"/>
        </w:rPr>
        <w:t>。</w:t>
      </w:r>
    </w:p>
    <w:p w14:paraId="57DBB297">
      <w:pPr>
        <w:keepNext/>
        <w:keepLines/>
        <w:pageBreakBefore w:val="0"/>
        <w:widowControl w:val="0"/>
        <w:numPr>
          <w:ilvl w:val="0"/>
          <w:numId w:val="6"/>
        </w:numPr>
        <w:kinsoku/>
        <w:wordWrap/>
        <w:overflowPunct/>
        <w:topLinePunct w:val="0"/>
        <w:autoSpaceDE/>
        <w:autoSpaceDN/>
        <w:bidi w:val="0"/>
        <w:adjustRightInd w:val="0"/>
        <w:snapToGrid/>
        <w:spacing w:before="157" w:beforeLines="50" w:after="0" w:afterLines="0" w:line="360" w:lineRule="auto"/>
        <w:ind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20" w:name="_Toc2325"/>
      <w:bookmarkStart w:id="21" w:name="_Toc27829"/>
      <w:r>
        <w:rPr>
          <w:rFonts w:ascii="Times New Roman" w:hAnsi="黑体" w:eastAsia="黑体" w:cs="Times New Roman"/>
          <w:b w:val="0"/>
          <w:bCs w:val="0"/>
          <w:color w:val="auto"/>
          <w:kern w:val="2"/>
          <w:sz w:val="24"/>
          <w:szCs w:val="24"/>
          <w:highlight w:val="none"/>
          <w:lang w:val="en-US" w:eastAsia="zh-CN" w:bidi="ar-SA"/>
        </w:rPr>
        <w:t>财务支付要求</w:t>
      </w:r>
      <w:bookmarkEnd w:id="20"/>
    </w:p>
    <w:p w14:paraId="5914D2FF">
      <w:pPr>
        <w:pageBreakBefore w:val="0"/>
        <w:widowControl/>
        <w:kinsoku/>
        <w:overflowPunct/>
        <w:topLinePunct w:val="0"/>
        <w:autoSpaceDE/>
        <w:autoSpaceDN/>
        <w:bidi w:val="0"/>
        <w:adjustRightInd w:val="0"/>
        <w:snapToGrid/>
        <w:spacing w:beforeLines="0" w:afterLines="0" w:line="360" w:lineRule="auto"/>
        <w:ind w:firstLine="480" w:firstLineChars="200"/>
        <w:textAlignment w:val="baseline"/>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若服务到期结束或服务期内订单总金额若达到供应商响应总价，则不再发送订单。</w:t>
      </w:r>
    </w:p>
    <w:bookmarkEnd w:id="21"/>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251"/>
        <w:gridCol w:w="4197"/>
        <w:gridCol w:w="2259"/>
      </w:tblGrid>
      <w:tr w14:paraId="1B85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77" w:type="pct"/>
            <w:noWrap w:val="0"/>
            <w:vAlign w:val="center"/>
          </w:tcPr>
          <w:p w14:paraId="0F5EFA7E">
            <w:pPr>
              <w:pageBreakBefore w:val="0"/>
              <w:widowControl/>
              <w:kinsoku/>
              <w:overflowPunct/>
              <w:topLinePunct w:val="0"/>
              <w:autoSpaceDE/>
              <w:autoSpaceDN/>
              <w:bidi w:val="0"/>
              <w:adjustRightInd w:val="0"/>
              <w:snapToGrid/>
              <w:spacing w:beforeLines="0" w:afterLines="0" w:line="360" w:lineRule="auto"/>
              <w:ind w:firstLine="0" w:firstLineChars="0"/>
              <w:jc w:val="center"/>
              <w:textAlignment w:val="baseline"/>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序号</w:t>
            </w:r>
          </w:p>
        </w:tc>
        <w:tc>
          <w:tcPr>
            <w:tcW w:w="734" w:type="pct"/>
            <w:noWrap w:val="0"/>
            <w:vAlign w:val="center"/>
          </w:tcPr>
          <w:p w14:paraId="62A56CFE">
            <w:pPr>
              <w:pageBreakBefore w:val="0"/>
              <w:widowControl/>
              <w:kinsoku/>
              <w:overflowPunct/>
              <w:topLinePunct w:val="0"/>
              <w:autoSpaceDE/>
              <w:autoSpaceDN/>
              <w:bidi w:val="0"/>
              <w:adjustRightInd w:val="0"/>
              <w:snapToGrid/>
              <w:spacing w:beforeLines="0" w:afterLines="0" w:line="360" w:lineRule="auto"/>
              <w:ind w:firstLine="0" w:firstLineChars="0"/>
              <w:jc w:val="center"/>
              <w:textAlignment w:val="baseline"/>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付款节点</w:t>
            </w:r>
          </w:p>
        </w:tc>
        <w:tc>
          <w:tcPr>
            <w:tcW w:w="2462" w:type="pct"/>
            <w:noWrap w:val="0"/>
            <w:vAlign w:val="center"/>
          </w:tcPr>
          <w:p w14:paraId="04CDD533">
            <w:pPr>
              <w:pageBreakBefore w:val="0"/>
              <w:widowControl/>
              <w:kinsoku/>
              <w:overflowPunct/>
              <w:topLinePunct w:val="0"/>
              <w:autoSpaceDE/>
              <w:autoSpaceDN/>
              <w:bidi w:val="0"/>
              <w:adjustRightInd w:val="0"/>
              <w:snapToGrid/>
              <w:spacing w:beforeLines="0" w:afterLines="0" w:line="360" w:lineRule="auto"/>
              <w:ind w:firstLine="0" w:firstLineChars="0"/>
              <w:jc w:val="center"/>
              <w:textAlignment w:val="baseline"/>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付款条件</w:t>
            </w:r>
          </w:p>
        </w:tc>
        <w:tc>
          <w:tcPr>
            <w:tcW w:w="1325" w:type="pct"/>
            <w:noWrap w:val="0"/>
            <w:vAlign w:val="center"/>
          </w:tcPr>
          <w:p w14:paraId="08349DF1">
            <w:pPr>
              <w:pageBreakBefore w:val="0"/>
              <w:widowControl/>
              <w:kinsoku/>
              <w:overflowPunct/>
              <w:topLinePunct w:val="0"/>
              <w:autoSpaceDE/>
              <w:autoSpaceDN/>
              <w:bidi w:val="0"/>
              <w:adjustRightInd w:val="0"/>
              <w:snapToGrid/>
              <w:spacing w:beforeLines="0" w:afterLines="0" w:line="360" w:lineRule="auto"/>
              <w:ind w:firstLine="0" w:firstLineChars="0"/>
              <w:jc w:val="center"/>
              <w:textAlignment w:val="baseline"/>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付款比例(或金额)</w:t>
            </w:r>
          </w:p>
        </w:tc>
      </w:tr>
      <w:tr w14:paraId="27C8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77" w:type="pct"/>
            <w:noWrap w:val="0"/>
            <w:vAlign w:val="center"/>
          </w:tcPr>
          <w:p w14:paraId="563BCF51">
            <w:pPr>
              <w:pageBreakBefore w:val="0"/>
              <w:kinsoku/>
              <w:overflowPunct/>
              <w:topLinePunct w:val="0"/>
              <w:autoSpaceDE/>
              <w:autoSpaceDN/>
              <w:bidi w:val="0"/>
              <w:snapToGrid/>
              <w:spacing w:beforeLines="0" w:afterLines="0" w:line="360" w:lineRule="auto"/>
              <w:ind w:firstLine="0" w:firstLineChars="0"/>
              <w:jc w:val="center"/>
              <w:rPr>
                <w:rFonts w:ascii="Times New Roman" w:hAnsi="Times New Roman" w:eastAsia="仿宋_GB2312" w:cs="Times New Roman"/>
                <w:color w:val="auto"/>
                <w:sz w:val="24"/>
                <w:szCs w:val="24"/>
                <w:highlight w:val="none"/>
              </w:rPr>
            </w:pPr>
            <w:r>
              <w:rPr>
                <w:rFonts w:ascii="Times New Roman" w:hAnsi="楷体" w:eastAsia="仿宋_GB2312" w:cs="Times New Roman"/>
                <w:color w:val="auto"/>
                <w:sz w:val="24"/>
                <w:szCs w:val="24"/>
                <w:highlight w:val="none"/>
              </w:rPr>
              <w:t>１</w:t>
            </w:r>
          </w:p>
        </w:tc>
        <w:tc>
          <w:tcPr>
            <w:tcW w:w="734" w:type="pct"/>
            <w:noWrap w:val="0"/>
            <w:vAlign w:val="center"/>
          </w:tcPr>
          <w:p w14:paraId="0866184B">
            <w:pPr>
              <w:pageBreakBefore w:val="0"/>
              <w:kinsoku/>
              <w:overflowPunct/>
              <w:topLinePunct w:val="0"/>
              <w:autoSpaceDE/>
              <w:autoSpaceDN/>
              <w:bidi w:val="0"/>
              <w:snapToGrid/>
              <w:spacing w:beforeLines="0" w:afterLines="0" w:line="360" w:lineRule="auto"/>
              <w:ind w:firstLine="0" w:firstLineChars="0"/>
              <w:jc w:val="center"/>
              <w:rPr>
                <w:rFonts w:ascii="Times New Roman" w:hAnsi="楷体" w:eastAsia="仿宋_GB2312" w:cs="Times New Roman"/>
                <w:color w:val="auto"/>
                <w:sz w:val="24"/>
                <w:szCs w:val="24"/>
                <w:highlight w:val="none"/>
              </w:rPr>
            </w:pPr>
            <w:r>
              <w:rPr>
                <w:rFonts w:ascii="Times New Roman" w:hAnsi="楷体" w:eastAsia="仿宋_GB2312" w:cs="Times New Roman"/>
                <w:color w:val="auto"/>
                <w:sz w:val="24"/>
                <w:szCs w:val="24"/>
                <w:highlight w:val="none"/>
              </w:rPr>
              <w:t>首付款</w:t>
            </w:r>
          </w:p>
        </w:tc>
        <w:tc>
          <w:tcPr>
            <w:tcW w:w="2462" w:type="pct"/>
            <w:noWrap w:val="0"/>
            <w:vAlign w:val="center"/>
          </w:tcPr>
          <w:p w14:paraId="41615006">
            <w:pPr>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jc w:val="left"/>
              <w:textAlignment w:val="auto"/>
              <w:rPr>
                <w:rFonts w:hint="default" w:ascii="Times New Roman" w:hAnsi="楷体" w:eastAsia="仿宋_GB2312" w:cs="Times New Roman"/>
                <w:color w:val="auto"/>
                <w:sz w:val="24"/>
                <w:szCs w:val="24"/>
                <w:highlight w:val="none"/>
                <w:lang w:val="en-US" w:eastAsia="zh-CN"/>
              </w:rPr>
            </w:pPr>
            <w:r>
              <w:rPr>
                <w:rFonts w:hint="eastAsia" w:ascii="Times New Roman" w:hAnsi="楷体" w:eastAsia="仿宋_GB2312" w:cs="Times New Roman"/>
                <w:color w:val="auto"/>
                <w:kern w:val="2"/>
                <w:sz w:val="24"/>
                <w:szCs w:val="24"/>
                <w:highlight w:val="none"/>
                <w:lang w:val="en-US" w:eastAsia="zh-CN"/>
              </w:rPr>
              <w:t>合同签署后，甲方向乙方下达订单，订单生效</w:t>
            </w:r>
            <w:r>
              <w:rPr>
                <w:rFonts w:hint="default" w:ascii="Times New Roman" w:hAnsi="楷体" w:eastAsia="仿宋_GB2312" w:cs="Times New Roman"/>
                <w:color w:val="auto"/>
                <w:kern w:val="2"/>
                <w:sz w:val="24"/>
                <w:szCs w:val="24"/>
                <w:highlight w:val="none"/>
              </w:rPr>
              <w:t>后，甲方在收到乙方出具的付款申请及相应金额经甲方认可的合法有效发票之日起</w:t>
            </w:r>
            <w:r>
              <w:rPr>
                <w:rFonts w:hint="eastAsia" w:ascii="Times New Roman" w:hAnsi="楷体" w:eastAsia="仿宋_GB2312" w:cs="Times New Roman"/>
                <w:color w:val="auto"/>
                <w:kern w:val="2"/>
                <w:sz w:val="24"/>
                <w:szCs w:val="24"/>
                <w:highlight w:val="none"/>
                <w:lang w:val="en-US" w:eastAsia="zh-CN"/>
              </w:rPr>
              <w:t>20个工作</w:t>
            </w:r>
            <w:r>
              <w:rPr>
                <w:rFonts w:hint="default" w:ascii="Times New Roman" w:hAnsi="楷体" w:eastAsia="仿宋_GB2312" w:cs="Times New Roman"/>
                <w:color w:val="auto"/>
                <w:kern w:val="2"/>
                <w:sz w:val="24"/>
                <w:szCs w:val="24"/>
                <w:highlight w:val="none"/>
              </w:rPr>
              <w:t>日内</w:t>
            </w:r>
          </w:p>
        </w:tc>
        <w:tc>
          <w:tcPr>
            <w:tcW w:w="1325" w:type="pct"/>
            <w:noWrap w:val="0"/>
            <w:vAlign w:val="center"/>
          </w:tcPr>
          <w:p w14:paraId="4AD62355">
            <w:pPr>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jc w:val="left"/>
              <w:textAlignment w:val="auto"/>
              <w:rPr>
                <w:rFonts w:ascii="Times New Roman" w:hAnsi="楷体" w:eastAsia="仿宋_GB2312" w:cs="Times New Roman"/>
                <w:color w:val="auto"/>
                <w:sz w:val="24"/>
                <w:szCs w:val="24"/>
                <w:highlight w:val="none"/>
              </w:rPr>
            </w:pPr>
            <w:r>
              <w:rPr>
                <w:rFonts w:hint="eastAsia" w:ascii="Times New Roman" w:hAnsi="楷体" w:eastAsia="仿宋_GB2312" w:cs="Times New Roman"/>
                <w:color w:val="auto"/>
                <w:sz w:val="24"/>
                <w:szCs w:val="24"/>
                <w:highlight w:val="none"/>
                <w:lang w:val="en-US" w:eastAsia="zh-CN"/>
              </w:rPr>
              <w:t>付款至订单</w:t>
            </w:r>
            <w:r>
              <w:rPr>
                <w:rFonts w:hint="default" w:ascii="Times New Roman" w:hAnsi="楷体" w:eastAsia="仿宋_GB2312" w:cs="Times New Roman"/>
                <w:color w:val="auto"/>
                <w:sz w:val="24"/>
                <w:szCs w:val="24"/>
                <w:highlight w:val="none"/>
                <w:lang w:val="en-US" w:eastAsia="zh-CN"/>
              </w:rPr>
              <w:t>金额的</w:t>
            </w:r>
            <w:r>
              <w:rPr>
                <w:rFonts w:hint="eastAsia" w:ascii="Times New Roman" w:hAnsi="楷体" w:eastAsia="仿宋_GB2312" w:cs="Times New Roman"/>
                <w:color w:val="auto"/>
                <w:sz w:val="24"/>
                <w:szCs w:val="24"/>
                <w:highlight w:val="none"/>
                <w:lang w:val="en-US" w:eastAsia="zh-CN"/>
              </w:rPr>
              <w:t>5</w:t>
            </w:r>
            <w:r>
              <w:rPr>
                <w:rFonts w:hint="default" w:ascii="Times New Roman" w:hAnsi="楷体" w:eastAsia="仿宋_GB2312" w:cs="Times New Roman"/>
                <w:color w:val="auto"/>
                <w:sz w:val="24"/>
                <w:szCs w:val="24"/>
                <w:highlight w:val="none"/>
                <w:lang w:val="en-US" w:eastAsia="zh-CN"/>
              </w:rPr>
              <w:t>0%</w:t>
            </w:r>
          </w:p>
        </w:tc>
      </w:tr>
      <w:tr w14:paraId="30E6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477" w:type="pct"/>
            <w:noWrap w:val="0"/>
            <w:vAlign w:val="center"/>
          </w:tcPr>
          <w:p w14:paraId="5AFAC89B">
            <w:pPr>
              <w:pageBreakBefore w:val="0"/>
              <w:kinsoku/>
              <w:overflowPunct/>
              <w:topLinePunct w:val="0"/>
              <w:autoSpaceDE/>
              <w:autoSpaceDN/>
              <w:bidi w:val="0"/>
              <w:snapToGrid/>
              <w:spacing w:beforeLines="0" w:afterLines="0" w:line="360" w:lineRule="auto"/>
              <w:ind w:firstLine="0" w:firstLineChars="0"/>
              <w:jc w:val="center"/>
              <w:rPr>
                <w:rFonts w:hint="eastAsia" w:ascii="Times New Roman" w:hAnsi="楷体" w:eastAsia="仿宋_GB2312" w:cs="Times New Roman"/>
                <w:color w:val="auto"/>
                <w:sz w:val="24"/>
                <w:szCs w:val="24"/>
                <w:highlight w:val="none"/>
                <w:lang w:val="en-US" w:eastAsia="zh-CN"/>
              </w:rPr>
            </w:pPr>
            <w:r>
              <w:rPr>
                <w:rFonts w:hint="eastAsia" w:ascii="Times New Roman" w:hAnsi="楷体" w:eastAsia="仿宋_GB2312" w:cs="Times New Roman"/>
                <w:color w:val="auto"/>
                <w:sz w:val="24"/>
                <w:szCs w:val="24"/>
                <w:highlight w:val="none"/>
                <w:lang w:val="en-US" w:eastAsia="zh-CN"/>
              </w:rPr>
              <w:t>2</w:t>
            </w:r>
          </w:p>
        </w:tc>
        <w:tc>
          <w:tcPr>
            <w:tcW w:w="734" w:type="pct"/>
            <w:noWrap w:val="0"/>
            <w:vAlign w:val="center"/>
          </w:tcPr>
          <w:p w14:paraId="25668FFA">
            <w:pPr>
              <w:pageBreakBefore w:val="0"/>
              <w:kinsoku/>
              <w:overflowPunct/>
              <w:topLinePunct w:val="0"/>
              <w:autoSpaceDE/>
              <w:autoSpaceDN/>
              <w:bidi w:val="0"/>
              <w:snapToGrid/>
              <w:spacing w:beforeLines="0" w:afterLines="0" w:line="360" w:lineRule="auto"/>
              <w:ind w:firstLine="0" w:firstLineChars="0"/>
              <w:jc w:val="center"/>
              <w:rPr>
                <w:rFonts w:hint="default" w:ascii="Times New Roman" w:hAnsi="楷体" w:eastAsia="仿宋_GB2312" w:cs="Times New Roman"/>
                <w:color w:val="auto"/>
                <w:sz w:val="24"/>
                <w:szCs w:val="24"/>
                <w:highlight w:val="none"/>
                <w:lang w:val="en-US" w:eastAsia="zh-CN"/>
              </w:rPr>
            </w:pPr>
            <w:r>
              <w:rPr>
                <w:rFonts w:hint="eastAsia" w:ascii="Times New Roman" w:hAnsi="楷体" w:eastAsia="仿宋_GB2312" w:cs="Times New Roman"/>
                <w:color w:val="auto"/>
                <w:sz w:val="24"/>
                <w:szCs w:val="24"/>
                <w:highlight w:val="none"/>
                <w:lang w:val="en-US" w:eastAsia="zh-CN"/>
              </w:rPr>
              <w:t>验收款</w:t>
            </w:r>
          </w:p>
        </w:tc>
        <w:tc>
          <w:tcPr>
            <w:tcW w:w="2462" w:type="pct"/>
            <w:noWrap w:val="0"/>
            <w:vAlign w:val="center"/>
          </w:tcPr>
          <w:p w14:paraId="01D5DD28">
            <w:pPr>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jc w:val="left"/>
              <w:textAlignment w:val="auto"/>
              <w:rPr>
                <w:rFonts w:hint="default" w:ascii="Times New Roman" w:hAnsi="楷体" w:eastAsia="仿宋_GB2312" w:cs="Times New Roman"/>
                <w:color w:val="auto"/>
                <w:kern w:val="2"/>
                <w:sz w:val="24"/>
                <w:szCs w:val="24"/>
                <w:highlight w:val="none"/>
                <w:lang w:val="en-US" w:eastAsia="zh-CN"/>
              </w:rPr>
            </w:pPr>
            <w:r>
              <w:rPr>
                <w:rFonts w:hint="eastAsia" w:ascii="Times New Roman" w:hAnsi="楷体" w:eastAsia="仿宋_GB2312" w:cs="Times New Roman"/>
                <w:color w:val="auto"/>
                <w:kern w:val="2"/>
                <w:sz w:val="24"/>
                <w:szCs w:val="24"/>
                <w:highlight w:val="none"/>
                <w:lang w:val="en-US" w:eastAsia="zh-CN"/>
              </w:rPr>
              <w:t>订单内全部需求上线稳定运行满3个月，并通过验收后，甲方自收到乙方出具的付款申请及相应金额经甲方认可的合法有效发票之日起20个工作</w:t>
            </w:r>
            <w:r>
              <w:rPr>
                <w:rFonts w:hint="default" w:ascii="Times New Roman" w:hAnsi="楷体" w:eastAsia="仿宋_GB2312" w:cs="Times New Roman"/>
                <w:color w:val="auto"/>
                <w:kern w:val="2"/>
                <w:sz w:val="24"/>
                <w:szCs w:val="24"/>
                <w:highlight w:val="none"/>
              </w:rPr>
              <w:t>日内</w:t>
            </w:r>
          </w:p>
        </w:tc>
        <w:tc>
          <w:tcPr>
            <w:tcW w:w="1325" w:type="pct"/>
            <w:noWrap w:val="0"/>
            <w:vAlign w:val="center"/>
          </w:tcPr>
          <w:p w14:paraId="54E942A5">
            <w:pPr>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jc w:val="left"/>
              <w:textAlignment w:val="auto"/>
              <w:rPr>
                <w:rFonts w:hint="default" w:ascii="Times New Roman" w:hAnsi="楷体" w:eastAsia="仿宋_GB2312" w:cs="Times New Roman"/>
                <w:color w:val="auto"/>
                <w:sz w:val="24"/>
                <w:szCs w:val="24"/>
                <w:highlight w:val="none"/>
                <w:lang w:val="en-US" w:eastAsia="zh-CN"/>
              </w:rPr>
            </w:pPr>
            <w:r>
              <w:rPr>
                <w:rFonts w:hint="eastAsia" w:ascii="Times New Roman" w:hAnsi="楷体" w:eastAsia="仿宋_GB2312" w:cs="Times New Roman"/>
                <w:color w:val="auto"/>
                <w:sz w:val="24"/>
                <w:szCs w:val="24"/>
                <w:highlight w:val="none"/>
                <w:lang w:val="en-US" w:eastAsia="zh-CN"/>
              </w:rPr>
              <w:t>付款至该订单金额的70</w:t>
            </w:r>
            <w:r>
              <w:rPr>
                <w:rFonts w:hint="default" w:ascii="Times New Roman" w:hAnsi="楷体" w:eastAsia="仿宋_GB2312" w:cs="Times New Roman"/>
                <w:color w:val="auto"/>
                <w:sz w:val="24"/>
                <w:szCs w:val="24"/>
                <w:highlight w:val="none"/>
                <w:lang w:val="en-US" w:eastAsia="zh-CN"/>
              </w:rPr>
              <w:t>%</w:t>
            </w:r>
          </w:p>
        </w:tc>
      </w:tr>
      <w:tr w14:paraId="35E1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477" w:type="pct"/>
            <w:noWrap w:val="0"/>
            <w:vAlign w:val="center"/>
          </w:tcPr>
          <w:p w14:paraId="3E850183">
            <w:pPr>
              <w:pageBreakBefore w:val="0"/>
              <w:kinsoku/>
              <w:overflowPunct/>
              <w:topLinePunct w:val="0"/>
              <w:autoSpaceDE/>
              <w:autoSpaceDN/>
              <w:bidi w:val="0"/>
              <w:snapToGrid/>
              <w:spacing w:beforeLines="0" w:afterLines="0" w:line="360" w:lineRule="auto"/>
              <w:ind w:firstLine="0" w:firstLineChars="0"/>
              <w:jc w:val="center"/>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3</w:t>
            </w:r>
          </w:p>
        </w:tc>
        <w:tc>
          <w:tcPr>
            <w:tcW w:w="734" w:type="pct"/>
            <w:noWrap w:val="0"/>
            <w:vAlign w:val="center"/>
          </w:tcPr>
          <w:p w14:paraId="1183F44F">
            <w:pPr>
              <w:pageBreakBefore w:val="0"/>
              <w:kinsoku/>
              <w:overflowPunct/>
              <w:topLinePunct w:val="0"/>
              <w:autoSpaceDE/>
              <w:autoSpaceDN/>
              <w:bidi w:val="0"/>
              <w:snapToGrid/>
              <w:spacing w:beforeLines="0" w:afterLines="0" w:line="360" w:lineRule="auto"/>
              <w:ind w:firstLine="0" w:firstLineChars="0"/>
              <w:jc w:val="center"/>
              <w:rPr>
                <w:rFonts w:hint="default" w:ascii="Times New Roman" w:hAnsi="楷体" w:eastAsia="仿宋_GB2312" w:cs="Times New Roman"/>
                <w:color w:val="auto"/>
                <w:sz w:val="24"/>
                <w:szCs w:val="24"/>
                <w:highlight w:val="none"/>
                <w:lang w:eastAsia="zh-CN"/>
              </w:rPr>
            </w:pPr>
            <w:r>
              <w:rPr>
                <w:rFonts w:hint="default" w:ascii="Times New Roman" w:hAnsi="楷体" w:eastAsia="仿宋_GB2312" w:cs="Times New Roman"/>
                <w:color w:val="auto"/>
                <w:sz w:val="24"/>
                <w:szCs w:val="24"/>
                <w:highlight w:val="none"/>
                <w:lang w:val="en-US" w:eastAsia="zh-CN"/>
              </w:rPr>
              <w:t>尾</w:t>
            </w:r>
            <w:r>
              <w:rPr>
                <w:rFonts w:hint="eastAsia" w:ascii="Times New Roman" w:hAnsi="楷体" w:eastAsia="仿宋_GB2312" w:cs="Times New Roman"/>
                <w:color w:val="auto"/>
                <w:sz w:val="24"/>
                <w:szCs w:val="24"/>
                <w:highlight w:val="none"/>
                <w:lang w:val="en-US" w:eastAsia="zh-CN"/>
              </w:rPr>
              <w:t xml:space="preserve">  </w:t>
            </w:r>
            <w:r>
              <w:rPr>
                <w:rFonts w:hint="default" w:ascii="Times New Roman" w:hAnsi="楷体" w:eastAsia="仿宋_GB2312" w:cs="Times New Roman"/>
                <w:color w:val="auto"/>
                <w:sz w:val="24"/>
                <w:szCs w:val="24"/>
                <w:highlight w:val="none"/>
                <w:lang w:val="en-US" w:eastAsia="zh-CN"/>
              </w:rPr>
              <w:t>款</w:t>
            </w:r>
          </w:p>
        </w:tc>
        <w:tc>
          <w:tcPr>
            <w:tcW w:w="2462" w:type="pct"/>
            <w:noWrap w:val="0"/>
            <w:vAlign w:val="center"/>
          </w:tcPr>
          <w:p w14:paraId="2318E9D0">
            <w:pPr>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jc w:val="both"/>
              <w:textAlignment w:val="auto"/>
              <w:rPr>
                <w:rFonts w:hint="default" w:ascii="Times New Roman" w:hAnsi="楷体" w:eastAsia="仿宋_GB2312" w:cs="Times New Roman"/>
                <w:color w:val="auto"/>
                <w:sz w:val="24"/>
                <w:szCs w:val="24"/>
                <w:highlight w:val="none"/>
                <w:lang w:eastAsia="zh-CN"/>
              </w:rPr>
            </w:pPr>
            <w:r>
              <w:rPr>
                <w:rFonts w:hint="eastAsia" w:ascii="Times New Roman" w:hAnsi="楷体" w:eastAsia="仿宋_GB2312" w:cs="Times New Roman"/>
                <w:color w:val="auto"/>
                <w:sz w:val="24"/>
                <w:szCs w:val="24"/>
                <w:highlight w:val="none"/>
                <w:lang w:val="en-US" w:eastAsia="zh-CN"/>
              </w:rPr>
              <w:t>订单</w:t>
            </w:r>
            <w:r>
              <w:rPr>
                <w:rFonts w:hint="eastAsia" w:ascii="Times New Roman" w:hAnsi="楷体" w:eastAsia="仿宋_GB2312" w:cs="Times New Roman"/>
                <w:color w:val="auto"/>
                <w:sz w:val="24"/>
                <w:szCs w:val="24"/>
                <w:highlight w:val="none"/>
              </w:rPr>
              <w:t>一年维保期结束</w:t>
            </w:r>
            <w:r>
              <w:rPr>
                <w:rFonts w:hint="eastAsia" w:ascii="Times New Roman" w:hAnsi="楷体" w:eastAsia="仿宋_GB2312" w:cs="Times New Roman"/>
                <w:color w:val="auto"/>
                <w:sz w:val="24"/>
                <w:szCs w:val="24"/>
                <w:highlight w:val="none"/>
                <w:lang w:val="en-US" w:eastAsia="zh-CN"/>
              </w:rPr>
              <w:t>，乙方提交维护期总结报告并得到甲方书面确认后，甲方收到乙方出具的付款申请及相应金额经甲方认可的合法有效发票之日起20</w:t>
            </w:r>
            <w:r>
              <w:rPr>
                <w:rFonts w:hint="default" w:ascii="Times New Roman" w:hAnsi="楷体" w:eastAsia="仿宋_GB2312" w:cs="Times New Roman"/>
                <w:color w:val="auto"/>
                <w:sz w:val="24"/>
                <w:szCs w:val="24"/>
                <w:highlight w:val="none"/>
                <w:lang w:eastAsia="zh-CN"/>
              </w:rPr>
              <w:t>个工作日内</w:t>
            </w:r>
          </w:p>
        </w:tc>
        <w:tc>
          <w:tcPr>
            <w:tcW w:w="1325" w:type="pct"/>
            <w:noWrap w:val="0"/>
            <w:vAlign w:val="center"/>
          </w:tcPr>
          <w:p w14:paraId="66B26B1C">
            <w:pPr>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jc w:val="left"/>
              <w:textAlignment w:val="auto"/>
              <w:rPr>
                <w:rFonts w:ascii="Times New Roman" w:hAnsi="楷体" w:eastAsia="仿宋_GB2312" w:cs="Times New Roman"/>
                <w:color w:val="auto"/>
                <w:sz w:val="24"/>
                <w:szCs w:val="24"/>
                <w:highlight w:val="none"/>
              </w:rPr>
            </w:pPr>
            <w:r>
              <w:rPr>
                <w:rFonts w:hint="eastAsia" w:ascii="Times New Roman" w:hAnsi="楷体" w:eastAsia="仿宋_GB2312" w:cs="Times New Roman"/>
                <w:color w:val="auto"/>
                <w:sz w:val="24"/>
                <w:szCs w:val="24"/>
                <w:highlight w:val="none"/>
                <w:lang w:val="en-US" w:eastAsia="zh-CN"/>
              </w:rPr>
              <w:t>付款至该订单金额</w:t>
            </w:r>
            <w:r>
              <w:rPr>
                <w:rFonts w:hint="default" w:ascii="Times New Roman" w:hAnsi="楷体" w:eastAsia="仿宋_GB2312" w:cs="Times New Roman"/>
                <w:color w:val="auto"/>
                <w:sz w:val="24"/>
                <w:szCs w:val="24"/>
                <w:highlight w:val="none"/>
                <w:lang w:val="en-US" w:eastAsia="zh-CN"/>
              </w:rPr>
              <w:t>的</w:t>
            </w:r>
            <w:r>
              <w:rPr>
                <w:rFonts w:hint="eastAsia" w:ascii="Times New Roman" w:hAnsi="楷体" w:eastAsia="仿宋_GB2312" w:cs="Times New Roman"/>
                <w:color w:val="auto"/>
                <w:sz w:val="24"/>
                <w:szCs w:val="24"/>
                <w:highlight w:val="none"/>
                <w:lang w:val="en-US" w:eastAsia="zh-CN"/>
              </w:rPr>
              <w:t>100</w:t>
            </w:r>
            <w:r>
              <w:rPr>
                <w:rFonts w:hint="default" w:ascii="Times New Roman" w:hAnsi="楷体" w:eastAsia="仿宋_GB2312" w:cs="Times New Roman"/>
                <w:color w:val="auto"/>
                <w:sz w:val="24"/>
                <w:szCs w:val="24"/>
                <w:highlight w:val="none"/>
                <w:lang w:val="en-US" w:eastAsia="zh-CN"/>
              </w:rPr>
              <w:t>%</w:t>
            </w:r>
          </w:p>
        </w:tc>
      </w:tr>
    </w:tbl>
    <w:p w14:paraId="27864A62">
      <w:pPr>
        <w:keepNext/>
        <w:keepLines/>
        <w:pageBreakBefore w:val="0"/>
        <w:widowControl w:val="0"/>
        <w:kinsoku/>
        <w:wordWrap/>
        <w:overflowPunct/>
        <w:topLinePunct w:val="0"/>
        <w:autoSpaceDE/>
        <w:autoSpaceDN/>
        <w:bidi w:val="0"/>
        <w:adjustRightInd w:val="0"/>
        <w:snapToGrid/>
        <w:spacing w:before="157" w:beforeLines="50" w:after="0" w:afterLines="0" w:line="360" w:lineRule="auto"/>
        <w:ind w:firstLine="480" w:firstLineChars="200"/>
        <w:jc w:val="both"/>
        <w:textAlignment w:val="baseline"/>
        <w:outlineLvl w:val="0"/>
        <w:rPr>
          <w:rFonts w:ascii="Times New Roman" w:hAnsi="Times New Roman" w:eastAsia="黑体" w:cs="Times New Roman"/>
          <w:b w:val="0"/>
          <w:bCs w:val="0"/>
          <w:color w:val="auto"/>
          <w:kern w:val="2"/>
          <w:sz w:val="24"/>
          <w:szCs w:val="24"/>
          <w:highlight w:val="none"/>
          <w:lang w:val="en-US" w:eastAsia="zh-CN" w:bidi="ar-SA"/>
        </w:rPr>
      </w:pPr>
      <w:r>
        <w:rPr>
          <w:rFonts w:hint="eastAsia" w:ascii="Times New Roman" w:hAnsi="黑体" w:eastAsia="黑体" w:cs="Times New Roman"/>
          <w:b w:val="0"/>
          <w:bCs w:val="0"/>
          <w:color w:val="auto"/>
          <w:kern w:val="2"/>
          <w:sz w:val="24"/>
          <w:szCs w:val="24"/>
          <w:highlight w:val="none"/>
          <w:lang w:val="en-US" w:eastAsia="zh-CN" w:bidi="ar-SA"/>
        </w:rPr>
        <w:t>十</w:t>
      </w:r>
      <w:r>
        <w:rPr>
          <w:rFonts w:ascii="Times New Roman" w:hAnsi="黑体" w:eastAsia="黑体" w:cs="Times New Roman"/>
          <w:b w:val="0"/>
          <w:bCs w:val="0"/>
          <w:color w:val="auto"/>
          <w:kern w:val="2"/>
          <w:sz w:val="24"/>
          <w:szCs w:val="24"/>
          <w:highlight w:val="none"/>
          <w:lang w:val="en-US" w:eastAsia="zh-CN" w:bidi="ar-SA"/>
        </w:rPr>
        <w:t>、履约验收方案</w:t>
      </w:r>
      <w:bookmarkEnd w:id="17"/>
      <w:bookmarkEnd w:id="18"/>
      <w:bookmarkEnd w:id="19"/>
    </w:p>
    <w:p w14:paraId="54FCB918">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hint="eastAsia" w:ascii="楷体_GB2312" w:hAnsi="楷体_GB2312" w:eastAsia="楷体_GB2312" w:cs="楷体_GB2312"/>
          <w:color w:val="auto"/>
          <w:sz w:val="24"/>
          <w:szCs w:val="24"/>
          <w:highlight w:val="none"/>
        </w:rPr>
      </w:pPr>
      <w:r>
        <w:rPr>
          <w:rFonts w:hint="eastAsia" w:ascii="楷体_GB2312" w:hAnsi="楷体_GB2312" w:eastAsia="楷体_GB2312" w:cs="楷体_GB2312"/>
          <w:color w:val="auto"/>
          <w:sz w:val="24"/>
          <w:szCs w:val="24"/>
          <w:highlight w:val="none"/>
          <w:lang w:val="en-US" w:eastAsia="zh-CN"/>
        </w:rPr>
        <w:t>（一）</w:t>
      </w:r>
      <w:r>
        <w:rPr>
          <w:rFonts w:hint="eastAsia" w:ascii="楷体_GB2312" w:hAnsi="楷体_GB2312" w:eastAsia="楷体_GB2312" w:cs="楷体_GB2312"/>
          <w:color w:val="auto"/>
          <w:sz w:val="24"/>
          <w:szCs w:val="24"/>
          <w:highlight w:val="none"/>
        </w:rPr>
        <w:t>履约验收的主体、时间、程序</w:t>
      </w:r>
    </w:p>
    <w:p w14:paraId="31553CE2">
      <w:pPr>
        <w:keepNext w:val="0"/>
        <w:keepLines w:val="0"/>
        <w:pageBreakBefore w:val="0"/>
        <w:widowControl/>
        <w:numPr>
          <w:ilvl w:val="0"/>
          <w:numId w:val="0"/>
        </w:numPr>
        <w:kinsoku/>
        <w:wordWrap/>
        <w:overflowPunct/>
        <w:topLinePunct w:val="0"/>
        <w:autoSpaceDE/>
        <w:autoSpaceDN/>
        <w:bidi w:val="0"/>
        <w:adjustRightInd w:val="0"/>
        <w:snapToGrid/>
        <w:spacing w:beforeLines="0" w:afterLines="0" w:line="360" w:lineRule="auto"/>
        <w:ind w:left="0" w:leftChars="0" w:firstLine="480" w:firstLineChars="200"/>
        <w:jc w:val="left"/>
        <w:textAlignment w:val="baseline"/>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验收</w:t>
      </w:r>
      <w:r>
        <w:rPr>
          <w:rFonts w:hint="default" w:ascii="Times New Roman" w:hAnsi="Times New Roman" w:eastAsia="仿宋_GB2312" w:cs="Times New Roman"/>
          <w:color w:val="auto"/>
          <w:sz w:val="24"/>
          <w:szCs w:val="24"/>
          <w:highlight w:val="none"/>
          <w:lang w:val="en-US" w:eastAsia="zh-CN"/>
        </w:rPr>
        <w:t>主体</w:t>
      </w:r>
    </w:p>
    <w:p w14:paraId="5D975809">
      <w:pPr>
        <w:keepNext w:val="0"/>
        <w:keepLines w:val="0"/>
        <w:pageBreakBefore w:val="0"/>
        <w:widowControl/>
        <w:numPr>
          <w:ilvl w:val="0"/>
          <w:numId w:val="0"/>
        </w:numPr>
        <w:kinsoku/>
        <w:wordWrap/>
        <w:overflowPunct/>
        <w:topLinePunct w:val="0"/>
        <w:autoSpaceDE/>
        <w:autoSpaceDN/>
        <w:bidi w:val="0"/>
        <w:adjustRightInd w:val="0"/>
        <w:snapToGrid/>
        <w:spacing w:beforeLines="0" w:afterLines="0" w:line="360" w:lineRule="auto"/>
        <w:ind w:left="0" w:leftChars="0" w:firstLine="480" w:firstLineChars="200"/>
        <w:jc w:val="left"/>
        <w:textAlignment w:val="baseline"/>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eastAsia="zh-CN"/>
        </w:rPr>
        <w:t>采购人</w:t>
      </w:r>
      <w:r>
        <w:rPr>
          <w:rFonts w:hint="default" w:ascii="Times New Roman" w:hAnsi="Times New Roman" w:eastAsia="仿宋_GB2312" w:cs="Times New Roman"/>
          <w:color w:val="auto"/>
          <w:sz w:val="24"/>
          <w:szCs w:val="24"/>
          <w:highlight w:val="none"/>
        </w:rPr>
        <w:t>组织验收。</w:t>
      </w:r>
    </w:p>
    <w:p w14:paraId="6C8E3871">
      <w:pPr>
        <w:keepNext w:val="0"/>
        <w:keepLines w:val="0"/>
        <w:pageBreakBefore w:val="0"/>
        <w:widowControl/>
        <w:numPr>
          <w:ilvl w:val="0"/>
          <w:numId w:val="0"/>
        </w:numPr>
        <w:kinsoku/>
        <w:wordWrap/>
        <w:overflowPunct/>
        <w:topLinePunct w:val="0"/>
        <w:autoSpaceDE/>
        <w:autoSpaceDN/>
        <w:bidi w:val="0"/>
        <w:adjustRightInd w:val="0"/>
        <w:snapToGrid/>
        <w:spacing w:beforeLines="0" w:afterLines="0" w:line="360" w:lineRule="auto"/>
        <w:ind w:left="0" w:leftChars="0" w:firstLine="480" w:firstLineChars="200"/>
        <w:jc w:val="left"/>
        <w:textAlignment w:val="baseline"/>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2.验收</w:t>
      </w:r>
      <w:r>
        <w:rPr>
          <w:rFonts w:hint="default" w:ascii="Times New Roman" w:hAnsi="Times New Roman" w:eastAsia="仿宋_GB2312" w:cs="Times New Roman"/>
          <w:color w:val="auto"/>
          <w:sz w:val="24"/>
          <w:szCs w:val="24"/>
          <w:highlight w:val="none"/>
          <w:lang w:val="en-US" w:eastAsia="zh-CN"/>
        </w:rPr>
        <w:t>时间</w:t>
      </w:r>
      <w:r>
        <w:rPr>
          <w:rFonts w:hint="eastAsia" w:ascii="Times New Roman" w:hAnsi="Times New Roman" w:eastAsia="仿宋_GB2312" w:cs="Times New Roman"/>
          <w:color w:val="auto"/>
          <w:sz w:val="24"/>
          <w:szCs w:val="24"/>
          <w:highlight w:val="none"/>
          <w:lang w:val="en-US" w:eastAsia="zh-CN"/>
        </w:rPr>
        <w:t>及程序</w:t>
      </w:r>
    </w:p>
    <w:p w14:paraId="29DD0A4D">
      <w:pPr>
        <w:keepNext w:val="0"/>
        <w:keepLines w:val="0"/>
        <w:pageBreakBefore w:val="0"/>
        <w:widowControl/>
        <w:numPr>
          <w:ilvl w:val="0"/>
          <w:numId w:val="0"/>
        </w:numPr>
        <w:kinsoku/>
        <w:wordWrap/>
        <w:overflowPunct/>
        <w:topLinePunct w:val="0"/>
        <w:autoSpaceDE/>
        <w:autoSpaceDN/>
        <w:bidi w:val="0"/>
        <w:adjustRightInd w:val="0"/>
        <w:snapToGrid/>
        <w:spacing w:beforeLines="0" w:afterLines="0" w:line="360" w:lineRule="auto"/>
        <w:ind w:left="0" w:leftChars="0" w:firstLine="480" w:firstLineChars="200"/>
        <w:jc w:val="left"/>
        <w:textAlignment w:val="baseline"/>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项目订单涉及的全部需求投产上线并稳定运行满3个月，各项功能满足验收标准，采购人组织验收。</w:t>
      </w:r>
    </w:p>
    <w:p w14:paraId="23727E4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具备验收条件后，由供应商向采购人提出验收申请，采购人收到申请后，自行或授权第三方监理依照合同及本工作说明书对其工作进行验收评估，如验收评估中发现其工作存在瑕疵、问题或遗漏，供应商须按照采购人要求限时解决，解决后采购人再次进行验收。验收通过后，采购人出具验收报告。</w:t>
      </w:r>
    </w:p>
    <w:p w14:paraId="5EEBBA29">
      <w:pPr>
        <w:pageBreakBefore w:val="0"/>
        <w:numPr>
          <w:ilvl w:val="0"/>
          <w:numId w:val="7"/>
        </w:numPr>
        <w:kinsoku/>
        <w:overflowPunct/>
        <w:topLinePunct w:val="0"/>
        <w:autoSpaceDE/>
        <w:autoSpaceDN/>
        <w:bidi w:val="0"/>
        <w:adjustRightInd w:val="0"/>
        <w:snapToGrid/>
        <w:spacing w:beforeLines="0" w:afterLines="0" w:line="360" w:lineRule="auto"/>
        <w:ind w:firstLine="480" w:firstLineChars="200"/>
        <w:textAlignment w:val="baseline"/>
        <w:rPr>
          <w:rFonts w:hint="eastAsia" w:ascii="楷体_GB2312" w:hAnsi="楷体_GB2312" w:eastAsia="楷体_GB2312" w:cs="楷体_GB2312"/>
          <w:color w:val="auto"/>
          <w:sz w:val="24"/>
          <w:szCs w:val="24"/>
          <w:highlight w:val="none"/>
        </w:rPr>
      </w:pPr>
      <w:r>
        <w:rPr>
          <w:rFonts w:hint="eastAsia" w:ascii="楷体_GB2312" w:hAnsi="楷体_GB2312" w:eastAsia="楷体_GB2312" w:cs="楷体_GB2312"/>
          <w:color w:val="auto"/>
          <w:sz w:val="24"/>
          <w:szCs w:val="24"/>
          <w:highlight w:val="none"/>
        </w:rPr>
        <w:t>履约验收内容和标准</w:t>
      </w:r>
    </w:p>
    <w:p w14:paraId="6A6D516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供应商应严格按实施计划完成设计、开发、测试、投产等各阶段内容，并确保项目订单总体目标。</w:t>
      </w:r>
    </w:p>
    <w:p w14:paraId="131F638A">
      <w:pPr>
        <w:keepLines w:val="0"/>
        <w:pageBreakBefore w:val="0"/>
        <w:numPr>
          <w:ilvl w:val="0"/>
          <w:numId w:val="0"/>
        </w:numPr>
        <w:kinsoku/>
        <w:overflowPunct/>
        <w:topLinePunct w:val="0"/>
        <w:autoSpaceDE/>
        <w:autoSpaceDN/>
        <w:bidi w:val="0"/>
        <w:adjustRightInd/>
        <w:snapToGrid/>
        <w:spacing w:line="360" w:lineRule="auto"/>
        <w:ind w:firstLine="640"/>
        <w:jc w:val="both"/>
        <w:textAlignment w:val="auto"/>
        <w:rPr>
          <w:rFonts w:hint="eastAsia" w:ascii="仿宋_GB2312" w:hAnsi="仿宋_GB2312" w:eastAsia="仿宋_GB2312" w:cs="仿宋_GB2312"/>
          <w:color w:val="auto"/>
          <w:sz w:val="24"/>
          <w:szCs w:val="24"/>
          <w:highlight w:val="none"/>
          <w:lang w:val="en-US" w:eastAsia="zh-CN"/>
        </w:rPr>
      </w:pPr>
      <w:bookmarkStart w:id="22" w:name="_Toc20402"/>
      <w:bookmarkStart w:id="23" w:name="_Toc6272"/>
      <w:r>
        <w:rPr>
          <w:rFonts w:hint="eastAsia" w:ascii="仿宋_GB2312" w:hAnsi="仿宋_GB2312" w:eastAsia="仿宋_GB2312" w:cs="仿宋_GB2312"/>
          <w:color w:val="auto"/>
          <w:sz w:val="24"/>
          <w:szCs w:val="24"/>
          <w:highlight w:val="none"/>
          <w:lang w:val="en-US" w:eastAsia="zh-CN"/>
        </w:rPr>
        <w:t>1.验收内容</w:t>
      </w:r>
    </w:p>
    <w:p w14:paraId="69530A1D">
      <w:pPr>
        <w:keepLines w:val="0"/>
        <w:pageBreakBefore w:val="0"/>
        <w:numPr>
          <w:ilvl w:val="0"/>
          <w:numId w:val="0"/>
        </w:numPr>
        <w:kinsoku/>
        <w:overflowPunct/>
        <w:topLinePunct w:val="0"/>
        <w:autoSpaceDE/>
        <w:autoSpaceDN/>
        <w:bidi w:val="0"/>
        <w:adjustRightInd/>
        <w:snapToGrid/>
        <w:spacing w:line="360" w:lineRule="auto"/>
        <w:ind w:firstLine="64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（1）交付件，包括文档资料、源代码等</w:t>
      </w:r>
    </w:p>
    <w:p w14:paraId="0003AF03">
      <w:pPr>
        <w:keepLines w:val="0"/>
        <w:pageBreakBefore w:val="0"/>
        <w:numPr>
          <w:ilvl w:val="0"/>
          <w:numId w:val="0"/>
        </w:numPr>
        <w:kinsoku/>
        <w:overflowPunct/>
        <w:topLinePunct w:val="0"/>
        <w:autoSpaceDE/>
        <w:autoSpaceDN/>
        <w:bidi w:val="0"/>
        <w:adjustRightInd/>
        <w:snapToGrid/>
        <w:spacing w:line="360" w:lineRule="auto"/>
        <w:ind w:firstLine="64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（2）适配改造的物理子系统应用软件</w:t>
      </w:r>
    </w:p>
    <w:p w14:paraId="2827B943">
      <w:pPr>
        <w:keepLines w:val="0"/>
        <w:pageBreakBefore w:val="0"/>
        <w:numPr>
          <w:ilvl w:val="0"/>
          <w:numId w:val="0"/>
        </w:numPr>
        <w:kinsoku/>
        <w:overflowPunct/>
        <w:topLinePunct w:val="0"/>
        <w:autoSpaceDE/>
        <w:autoSpaceDN/>
        <w:bidi w:val="0"/>
        <w:adjustRightInd/>
        <w:snapToGrid/>
        <w:spacing w:line="360" w:lineRule="auto"/>
        <w:ind w:firstLine="64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（3）以量化的SLA考核指标为依据，对供应商服务及项目完成情况进行量化评价</w:t>
      </w:r>
    </w:p>
    <w:p w14:paraId="09050B62">
      <w:pPr>
        <w:keepLines w:val="0"/>
        <w:pageBreakBefore w:val="0"/>
        <w:numPr>
          <w:ilvl w:val="0"/>
          <w:numId w:val="0"/>
        </w:numPr>
        <w:kinsoku/>
        <w:overflowPunct/>
        <w:topLinePunct w:val="0"/>
        <w:autoSpaceDE/>
        <w:autoSpaceDN/>
        <w:bidi w:val="0"/>
        <w:adjustRightInd/>
        <w:snapToGrid/>
        <w:spacing w:line="360" w:lineRule="auto"/>
        <w:ind w:firstLine="64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2.验收标准</w:t>
      </w:r>
    </w:p>
    <w:p w14:paraId="6E2BB4C3">
      <w:pPr>
        <w:keepLines w:val="0"/>
        <w:pageBreakBefore w:val="0"/>
        <w:numPr>
          <w:ilvl w:val="0"/>
          <w:numId w:val="0"/>
        </w:numPr>
        <w:kinsoku/>
        <w:overflowPunct/>
        <w:topLinePunct w:val="0"/>
        <w:autoSpaceDE/>
        <w:autoSpaceDN/>
        <w:bidi w:val="0"/>
        <w:adjustRightInd/>
        <w:snapToGrid/>
        <w:spacing w:line="360" w:lineRule="auto"/>
        <w:ind w:firstLine="64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（1）文档验收标准</w:t>
      </w:r>
    </w:p>
    <w:p w14:paraId="2CB0E1C7">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文档内容应包含对应工作阶段的所有工作任务的最终成果</w:t>
      </w:r>
    </w:p>
    <w:p w14:paraId="46787D2C">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文档内容无重大分歧，采购人能够接受文档中的主要观点、认可文档中所体现的工作成果</w:t>
      </w:r>
    </w:p>
    <w:p w14:paraId="2B85619D">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所有正式交付件表达清晰、内容完整，符合采购人要求。交付文档的描述不存在实质性的错误（包括不真实、遗漏、误差、以及对使用者可能产生误导的信息）；文字无重大或误导性错误</w:t>
      </w:r>
    </w:p>
    <w:p w14:paraId="5920C51E">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文档交付齐备</w:t>
      </w:r>
    </w:p>
    <w:p w14:paraId="797D02F7">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除特别指明的并经采购人同意的英文提交文档之外，要求提供中文文档</w:t>
      </w:r>
    </w:p>
    <w:p w14:paraId="7C4E9C11">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提交项目全部交付件并通过采购人审核，在此基础上形成项目的《交付件交付情况一览表》，经过采购人核对认可</w:t>
      </w:r>
    </w:p>
    <w:p w14:paraId="4876A469">
      <w:pPr>
        <w:keepLines w:val="0"/>
        <w:pageBreakBefore w:val="0"/>
        <w:numPr>
          <w:ilvl w:val="0"/>
          <w:numId w:val="0"/>
        </w:numPr>
        <w:kinsoku/>
        <w:overflowPunct/>
        <w:topLinePunct w:val="0"/>
        <w:autoSpaceDE/>
        <w:autoSpaceDN/>
        <w:bidi w:val="0"/>
        <w:adjustRightInd/>
        <w:snapToGrid/>
        <w:spacing w:line="360" w:lineRule="auto"/>
        <w:ind w:firstLine="64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（2）系统验收标准</w:t>
      </w:r>
    </w:p>
    <w:p w14:paraId="1EAE03A0">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系统符合项目工作说明书的要求</w:t>
      </w:r>
    </w:p>
    <w:p w14:paraId="22A262CD">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新增系统的安全等级保护基本要求满足国家标准和监管要求中对本系统的相应要求</w:t>
      </w:r>
    </w:p>
    <w:p w14:paraId="4D0E79BD">
      <w:pPr>
        <w:keepLines w:val="0"/>
        <w:pageBreakBefore w:val="0"/>
        <w:numPr>
          <w:ilvl w:val="0"/>
          <w:numId w:val="8"/>
        </w:numPr>
        <w:kinsoku/>
        <w:overflowPunct/>
        <w:topLinePunct w:val="0"/>
        <w:autoSpaceDE/>
        <w:autoSpaceDN/>
        <w:bidi w:val="0"/>
        <w:adjustRightInd/>
        <w:snapToGrid/>
        <w:spacing w:line="360" w:lineRule="auto"/>
        <w:ind w:left="1050" w:leftChars="0" w:hanging="420" w:firstLineChars="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系统通过用户接收测试，若有遗留问题须在本项目最终验收启动前解决</w:t>
      </w:r>
    </w:p>
    <w:p w14:paraId="580AD2D8">
      <w:pPr>
        <w:widowControl w:val="0"/>
        <w:numPr>
          <w:ilvl w:val="0"/>
          <w:numId w:val="9"/>
        </w:numPr>
        <w:spacing w:line="360" w:lineRule="auto"/>
        <w:ind w:left="420" w:leftChars="200" w:firstLine="42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SLA指标考核</w:t>
      </w:r>
    </w:p>
    <w:p w14:paraId="140D95E2">
      <w:pPr>
        <w:widowControl/>
        <w:numPr>
          <w:ilvl w:val="0"/>
          <w:numId w:val="0"/>
        </w:numPr>
        <w:spacing w:afterLines="0" w:line="360" w:lineRule="auto"/>
        <w:ind w:left="0" w:firstLine="480" w:firstLineChars="200"/>
        <w:jc w:val="both"/>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项目订单发起验收时，进行SLA考核。指标项如下：</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67"/>
        <w:gridCol w:w="1971"/>
        <w:gridCol w:w="4356"/>
        <w:gridCol w:w="869"/>
      </w:tblGrid>
      <w:tr w14:paraId="1074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 w:type="pct"/>
            <w:noWrap w:val="0"/>
            <w:vAlign w:val="center"/>
          </w:tcPr>
          <w:p w14:paraId="241A4CA5">
            <w:pPr>
              <w:widowControl/>
              <w:spacing w:line="360" w:lineRule="auto"/>
              <w:jc w:val="center"/>
              <w:rPr>
                <w:rFonts w:hint="eastAsia" w:ascii="黑体" w:hAnsi="黑体" w:eastAsia="黑体" w:cs="黑体"/>
                <w:b w:val="0"/>
                <w:bCs w:val="0"/>
                <w:color w:val="auto"/>
                <w:kern w:val="0"/>
                <w:sz w:val="24"/>
                <w:szCs w:val="24"/>
                <w:highlight w:val="none"/>
                <w:lang w:val="en-GB"/>
              </w:rPr>
            </w:pPr>
            <w:r>
              <w:rPr>
                <w:rFonts w:hint="eastAsia" w:ascii="黑体" w:hAnsi="黑体" w:eastAsia="黑体" w:cs="黑体"/>
                <w:b w:val="0"/>
                <w:bCs w:val="0"/>
                <w:color w:val="auto"/>
                <w:kern w:val="0"/>
                <w:sz w:val="24"/>
                <w:szCs w:val="24"/>
                <w:highlight w:val="none"/>
                <w:lang w:val="en-GB"/>
              </w:rPr>
              <w:t>序号</w:t>
            </w:r>
          </w:p>
        </w:tc>
        <w:tc>
          <w:tcPr>
            <w:tcW w:w="520" w:type="pct"/>
            <w:noWrap w:val="0"/>
            <w:vAlign w:val="center"/>
          </w:tcPr>
          <w:p w14:paraId="4E6BB1C2">
            <w:pPr>
              <w:widowControl/>
              <w:spacing w:line="360" w:lineRule="auto"/>
              <w:jc w:val="center"/>
              <w:rPr>
                <w:rFonts w:hint="eastAsia" w:ascii="黑体" w:hAnsi="黑体" w:eastAsia="黑体" w:cs="黑体"/>
                <w:b w:val="0"/>
                <w:bCs w:val="0"/>
                <w:color w:val="auto"/>
                <w:kern w:val="0"/>
                <w:sz w:val="24"/>
                <w:szCs w:val="24"/>
                <w:highlight w:val="none"/>
                <w:lang w:val="en-GB"/>
              </w:rPr>
            </w:pPr>
            <w:r>
              <w:rPr>
                <w:rFonts w:hint="eastAsia" w:ascii="黑体" w:hAnsi="黑体" w:eastAsia="黑体" w:cs="黑体"/>
                <w:b w:val="0"/>
                <w:bCs w:val="0"/>
                <w:color w:val="auto"/>
                <w:kern w:val="0"/>
                <w:sz w:val="24"/>
                <w:szCs w:val="24"/>
                <w:highlight w:val="none"/>
                <w:lang w:val="en-GB"/>
              </w:rPr>
              <w:t>指标名称</w:t>
            </w:r>
          </w:p>
        </w:tc>
        <w:tc>
          <w:tcPr>
            <w:tcW w:w="1168" w:type="pct"/>
            <w:noWrap w:val="0"/>
            <w:vAlign w:val="center"/>
          </w:tcPr>
          <w:p w14:paraId="6946D659">
            <w:pPr>
              <w:widowControl/>
              <w:spacing w:line="360" w:lineRule="auto"/>
              <w:jc w:val="center"/>
              <w:rPr>
                <w:rFonts w:hint="eastAsia" w:ascii="黑体" w:hAnsi="黑体" w:eastAsia="黑体" w:cs="黑体"/>
                <w:b w:val="0"/>
                <w:bCs w:val="0"/>
                <w:color w:val="auto"/>
                <w:kern w:val="0"/>
                <w:sz w:val="24"/>
                <w:szCs w:val="24"/>
                <w:highlight w:val="none"/>
                <w:lang w:val="en-GB"/>
              </w:rPr>
            </w:pPr>
            <w:r>
              <w:rPr>
                <w:rFonts w:hint="eastAsia" w:ascii="黑体" w:hAnsi="黑体" w:eastAsia="黑体" w:cs="黑体"/>
                <w:b w:val="0"/>
                <w:bCs w:val="0"/>
                <w:color w:val="auto"/>
                <w:kern w:val="0"/>
                <w:sz w:val="24"/>
                <w:szCs w:val="24"/>
                <w:highlight w:val="none"/>
                <w:lang w:val="en-GB"/>
              </w:rPr>
              <w:t>量化标准</w:t>
            </w:r>
          </w:p>
        </w:tc>
        <w:tc>
          <w:tcPr>
            <w:tcW w:w="2568" w:type="pct"/>
            <w:noWrap w:val="0"/>
            <w:vAlign w:val="center"/>
          </w:tcPr>
          <w:p w14:paraId="23E73CC5">
            <w:pPr>
              <w:widowControl/>
              <w:spacing w:line="360" w:lineRule="auto"/>
              <w:jc w:val="center"/>
              <w:rPr>
                <w:rFonts w:hint="eastAsia" w:ascii="黑体" w:hAnsi="黑体" w:eastAsia="黑体" w:cs="黑体"/>
                <w:b w:val="0"/>
                <w:bCs w:val="0"/>
                <w:color w:val="auto"/>
                <w:kern w:val="0"/>
                <w:sz w:val="24"/>
                <w:szCs w:val="24"/>
                <w:highlight w:val="none"/>
                <w:lang w:val="en-GB"/>
              </w:rPr>
            </w:pPr>
            <w:r>
              <w:rPr>
                <w:rFonts w:hint="eastAsia" w:ascii="黑体" w:hAnsi="黑体" w:eastAsia="黑体" w:cs="黑体"/>
                <w:b w:val="0"/>
                <w:bCs w:val="0"/>
                <w:color w:val="auto"/>
                <w:kern w:val="0"/>
                <w:sz w:val="24"/>
                <w:szCs w:val="24"/>
                <w:highlight w:val="none"/>
                <w:lang w:val="en-GB"/>
              </w:rPr>
              <w:t>评估方式</w:t>
            </w:r>
          </w:p>
          <w:p w14:paraId="41E0A030">
            <w:pPr>
              <w:widowControl/>
              <w:spacing w:line="360" w:lineRule="auto"/>
              <w:jc w:val="center"/>
              <w:rPr>
                <w:rFonts w:hint="eastAsia" w:ascii="黑体" w:hAnsi="黑体" w:eastAsia="黑体" w:cs="黑体"/>
                <w:b w:val="0"/>
                <w:bCs w:val="0"/>
                <w:color w:val="auto"/>
                <w:kern w:val="0"/>
                <w:sz w:val="24"/>
                <w:szCs w:val="24"/>
                <w:highlight w:val="none"/>
                <w:lang w:val="en-GB"/>
              </w:rPr>
            </w:pPr>
            <w:r>
              <w:rPr>
                <w:rFonts w:hint="eastAsia" w:ascii="黑体" w:hAnsi="黑体" w:eastAsia="黑体" w:cs="黑体"/>
                <w:b w:val="0"/>
                <w:bCs w:val="0"/>
                <w:color w:val="auto"/>
                <w:kern w:val="0"/>
                <w:sz w:val="24"/>
                <w:szCs w:val="24"/>
                <w:highlight w:val="none"/>
                <w:lang w:val="en-GB"/>
              </w:rPr>
              <w:t>（优100-良80-中60-差0）</w:t>
            </w:r>
          </w:p>
        </w:tc>
        <w:tc>
          <w:tcPr>
            <w:tcW w:w="520" w:type="pct"/>
            <w:noWrap w:val="0"/>
            <w:vAlign w:val="center"/>
          </w:tcPr>
          <w:p w14:paraId="38420B5E">
            <w:pPr>
              <w:widowControl/>
              <w:spacing w:line="360" w:lineRule="auto"/>
              <w:jc w:val="center"/>
              <w:rPr>
                <w:rFonts w:hint="eastAsia" w:ascii="黑体" w:hAnsi="黑体" w:eastAsia="黑体" w:cs="黑体"/>
                <w:b w:val="0"/>
                <w:bCs w:val="0"/>
                <w:color w:val="auto"/>
                <w:kern w:val="0"/>
                <w:sz w:val="24"/>
                <w:szCs w:val="24"/>
                <w:highlight w:val="none"/>
                <w:lang w:val="en-GB"/>
              </w:rPr>
            </w:pPr>
            <w:r>
              <w:rPr>
                <w:rFonts w:hint="eastAsia" w:ascii="黑体" w:hAnsi="黑体" w:eastAsia="黑体" w:cs="黑体"/>
                <w:b w:val="0"/>
                <w:bCs w:val="0"/>
                <w:color w:val="auto"/>
                <w:kern w:val="0"/>
                <w:sz w:val="24"/>
                <w:szCs w:val="24"/>
                <w:highlight w:val="none"/>
                <w:lang w:val="en-GB"/>
              </w:rPr>
              <w:t>指标占比</w:t>
            </w:r>
          </w:p>
        </w:tc>
      </w:tr>
      <w:tr w14:paraId="4F72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 w:type="pct"/>
            <w:noWrap w:val="0"/>
            <w:vAlign w:val="center"/>
          </w:tcPr>
          <w:p w14:paraId="66C0F30F">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1</w:t>
            </w:r>
          </w:p>
        </w:tc>
        <w:tc>
          <w:tcPr>
            <w:tcW w:w="520" w:type="pct"/>
            <w:noWrap w:val="0"/>
            <w:vAlign w:val="center"/>
          </w:tcPr>
          <w:p w14:paraId="03DAAFFE">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en-US" w:eastAsia="zh-CN" w:bidi="ar-SA"/>
              </w:rPr>
              <w:t>订单</w:t>
            </w:r>
            <w:r>
              <w:rPr>
                <w:rFonts w:hint="eastAsia" w:ascii="仿宋_GB2312" w:hAnsi="仿宋_GB2312" w:eastAsia="仿宋_GB2312" w:cs="仿宋_GB2312"/>
                <w:color w:val="auto"/>
                <w:kern w:val="0"/>
                <w:sz w:val="24"/>
                <w:szCs w:val="24"/>
                <w:highlight w:val="none"/>
                <w:lang w:val="de-DE" w:eastAsia="zh-CN" w:bidi="ar-SA"/>
              </w:rPr>
              <w:t>进度及计划执行率</w:t>
            </w:r>
          </w:p>
        </w:tc>
        <w:tc>
          <w:tcPr>
            <w:tcW w:w="1168" w:type="pct"/>
            <w:noWrap w:val="0"/>
            <w:vAlign w:val="center"/>
          </w:tcPr>
          <w:p w14:paraId="63A68838">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各阶段累计工作延后完成天数/各阶段累计计划天数</w:t>
            </w:r>
          </w:p>
        </w:tc>
        <w:tc>
          <w:tcPr>
            <w:tcW w:w="2568" w:type="pct"/>
            <w:noWrap w:val="0"/>
            <w:vAlign w:val="center"/>
          </w:tcPr>
          <w:p w14:paraId="70338CFF">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1. 计划延误率≤</w:t>
            </w:r>
            <w:r>
              <w:rPr>
                <w:rFonts w:hint="eastAsia" w:ascii="仿宋_GB2312" w:hAnsi="仿宋_GB2312" w:eastAsia="仿宋_GB2312" w:cs="仿宋_GB2312"/>
                <w:color w:val="auto"/>
                <w:kern w:val="0"/>
                <w:sz w:val="24"/>
                <w:szCs w:val="24"/>
                <w:highlight w:val="none"/>
                <w:lang w:val="en-US" w:eastAsia="zh-CN" w:bidi="ar-SA"/>
              </w:rPr>
              <w:t>0</w:t>
            </w:r>
            <w:r>
              <w:rPr>
                <w:rFonts w:hint="eastAsia" w:ascii="仿宋_GB2312" w:hAnsi="仿宋_GB2312" w:eastAsia="仿宋_GB2312" w:cs="仿宋_GB2312"/>
                <w:color w:val="auto"/>
                <w:kern w:val="0"/>
                <w:sz w:val="24"/>
                <w:szCs w:val="24"/>
                <w:highlight w:val="none"/>
                <w:lang w:val="en-GB" w:eastAsia="zh-CN" w:bidi="ar-SA"/>
              </w:rPr>
              <w:t xml:space="preserve">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优</w:t>
            </w:r>
          </w:p>
          <w:p w14:paraId="2BBEBA5F">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 xml:space="preserve">2. </w:t>
            </w:r>
            <w:r>
              <w:rPr>
                <w:rFonts w:hint="eastAsia" w:ascii="仿宋_GB2312" w:hAnsi="仿宋_GB2312" w:eastAsia="仿宋_GB2312" w:cs="仿宋_GB2312"/>
                <w:color w:val="auto"/>
                <w:kern w:val="0"/>
                <w:sz w:val="24"/>
                <w:szCs w:val="24"/>
                <w:highlight w:val="none"/>
                <w:lang w:val="en-US" w:eastAsia="zh-CN" w:bidi="ar-SA"/>
              </w:rPr>
              <w:t>0</w:t>
            </w:r>
            <w:r>
              <w:rPr>
                <w:rFonts w:hint="eastAsia" w:ascii="仿宋_GB2312" w:hAnsi="仿宋_GB2312" w:eastAsia="仿宋_GB2312" w:cs="仿宋_GB2312"/>
                <w:color w:val="auto"/>
                <w:kern w:val="0"/>
                <w:sz w:val="24"/>
                <w:szCs w:val="24"/>
                <w:highlight w:val="none"/>
                <w:lang w:val="en-GB" w:eastAsia="zh-CN" w:bidi="ar-SA"/>
              </w:rPr>
              <w:t>＜计划延误率≤</w:t>
            </w:r>
            <w:r>
              <w:rPr>
                <w:rFonts w:hint="eastAsia" w:ascii="仿宋_GB2312" w:hAnsi="仿宋_GB2312" w:eastAsia="仿宋_GB2312" w:cs="仿宋_GB2312"/>
                <w:color w:val="auto"/>
                <w:kern w:val="0"/>
                <w:sz w:val="24"/>
                <w:szCs w:val="24"/>
                <w:highlight w:val="none"/>
                <w:lang w:val="en-US" w:eastAsia="zh-CN" w:bidi="ar-SA"/>
              </w:rPr>
              <w:t>1</w:t>
            </w:r>
            <w:r>
              <w:rPr>
                <w:rFonts w:hint="eastAsia" w:ascii="仿宋_GB2312" w:hAnsi="仿宋_GB2312" w:eastAsia="仿宋_GB2312" w:cs="仿宋_GB2312"/>
                <w:color w:val="auto"/>
                <w:kern w:val="0"/>
                <w:sz w:val="24"/>
                <w:szCs w:val="24"/>
                <w:highlight w:val="none"/>
                <w:lang w:val="en-GB" w:eastAsia="zh-CN" w:bidi="ar-SA"/>
              </w:rPr>
              <w:t xml:space="preserve">%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良</w:t>
            </w:r>
          </w:p>
          <w:p w14:paraId="793456BB">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3.</w:t>
            </w:r>
            <w:r>
              <w:rPr>
                <w:rFonts w:hint="eastAsia" w:ascii="仿宋_GB2312" w:hAnsi="仿宋_GB2312" w:eastAsia="仿宋_GB2312" w:cs="仿宋_GB2312"/>
                <w:color w:val="auto"/>
                <w:kern w:val="0"/>
                <w:sz w:val="24"/>
                <w:szCs w:val="24"/>
                <w:highlight w:val="none"/>
                <w:lang w:val="en-US" w:eastAsia="zh-CN" w:bidi="ar-SA"/>
              </w:rPr>
              <w:t xml:space="preserve"> 1</w:t>
            </w:r>
            <w:r>
              <w:rPr>
                <w:rFonts w:hint="eastAsia" w:ascii="仿宋_GB2312" w:hAnsi="仿宋_GB2312" w:eastAsia="仿宋_GB2312" w:cs="仿宋_GB2312"/>
                <w:color w:val="auto"/>
                <w:kern w:val="0"/>
                <w:sz w:val="24"/>
                <w:szCs w:val="24"/>
                <w:highlight w:val="none"/>
                <w:lang w:val="en-GB" w:eastAsia="zh-CN" w:bidi="ar-SA"/>
              </w:rPr>
              <w:t>%＜计划延误率≤</w:t>
            </w:r>
            <w:r>
              <w:rPr>
                <w:rFonts w:hint="eastAsia" w:ascii="仿宋_GB2312" w:hAnsi="仿宋_GB2312" w:eastAsia="仿宋_GB2312" w:cs="仿宋_GB2312"/>
                <w:color w:val="auto"/>
                <w:kern w:val="0"/>
                <w:sz w:val="24"/>
                <w:szCs w:val="24"/>
                <w:highlight w:val="none"/>
                <w:lang w:val="en-US" w:eastAsia="zh-CN" w:bidi="ar-SA"/>
              </w:rPr>
              <w:t>3</w:t>
            </w:r>
            <w:r>
              <w:rPr>
                <w:rFonts w:hint="eastAsia" w:ascii="仿宋_GB2312" w:hAnsi="仿宋_GB2312" w:eastAsia="仿宋_GB2312" w:cs="仿宋_GB2312"/>
                <w:color w:val="auto"/>
                <w:kern w:val="0"/>
                <w:sz w:val="24"/>
                <w:szCs w:val="24"/>
                <w:highlight w:val="none"/>
                <w:lang w:val="en-GB" w:eastAsia="zh-CN" w:bidi="ar-SA"/>
              </w:rPr>
              <w:t xml:space="preserve">%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中</w:t>
            </w:r>
          </w:p>
          <w:p w14:paraId="2DD1B451">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4.</w:t>
            </w:r>
            <w:r>
              <w:rPr>
                <w:rFonts w:hint="eastAsia" w:ascii="仿宋_GB2312" w:hAnsi="仿宋_GB2312" w:eastAsia="仿宋_GB2312" w:cs="仿宋_GB2312"/>
                <w:color w:val="auto"/>
                <w:kern w:val="0"/>
                <w:sz w:val="24"/>
                <w:szCs w:val="24"/>
                <w:highlight w:val="none"/>
                <w:lang w:val="en-US" w:eastAsia="zh-CN" w:bidi="ar-SA"/>
              </w:rPr>
              <w:t xml:space="preserve"> 3</w:t>
            </w:r>
            <w:r>
              <w:rPr>
                <w:rFonts w:hint="eastAsia" w:ascii="仿宋_GB2312" w:hAnsi="仿宋_GB2312" w:eastAsia="仿宋_GB2312" w:cs="仿宋_GB2312"/>
                <w:color w:val="auto"/>
                <w:kern w:val="0"/>
                <w:sz w:val="24"/>
                <w:szCs w:val="24"/>
                <w:highlight w:val="none"/>
                <w:lang w:val="en-GB" w:eastAsia="zh-CN" w:bidi="ar-SA"/>
              </w:rPr>
              <w:t xml:space="preserve">%＜计划延误率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差</w:t>
            </w:r>
          </w:p>
        </w:tc>
        <w:tc>
          <w:tcPr>
            <w:tcW w:w="520" w:type="pct"/>
            <w:noWrap w:val="0"/>
            <w:vAlign w:val="center"/>
          </w:tcPr>
          <w:p w14:paraId="6B712578">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en-US" w:eastAsia="zh-CN" w:bidi="ar-SA"/>
              </w:rPr>
              <w:t>35</w:t>
            </w:r>
            <w:r>
              <w:rPr>
                <w:rFonts w:hint="eastAsia" w:ascii="仿宋_GB2312" w:hAnsi="仿宋_GB2312" w:eastAsia="仿宋_GB2312" w:cs="仿宋_GB2312"/>
                <w:color w:val="auto"/>
                <w:kern w:val="0"/>
                <w:sz w:val="24"/>
                <w:szCs w:val="24"/>
                <w:highlight w:val="none"/>
                <w:lang w:val="de-DE" w:eastAsia="zh-CN" w:bidi="ar-SA"/>
              </w:rPr>
              <w:t>%</w:t>
            </w:r>
          </w:p>
        </w:tc>
      </w:tr>
      <w:tr w14:paraId="661F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 w:type="pct"/>
            <w:noWrap w:val="0"/>
            <w:vAlign w:val="center"/>
          </w:tcPr>
          <w:p w14:paraId="370C00C1">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2</w:t>
            </w:r>
          </w:p>
        </w:tc>
        <w:tc>
          <w:tcPr>
            <w:tcW w:w="520" w:type="pct"/>
            <w:noWrap w:val="0"/>
            <w:vAlign w:val="center"/>
          </w:tcPr>
          <w:p w14:paraId="3B725AE0">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en-US" w:eastAsia="zh-CN" w:bidi="ar-SA"/>
              </w:rPr>
              <w:t>订单</w:t>
            </w:r>
            <w:r>
              <w:rPr>
                <w:rFonts w:hint="eastAsia" w:ascii="仿宋_GB2312" w:hAnsi="仿宋_GB2312" w:eastAsia="仿宋_GB2312" w:cs="仿宋_GB2312"/>
                <w:color w:val="auto"/>
                <w:kern w:val="0"/>
                <w:sz w:val="24"/>
                <w:szCs w:val="24"/>
                <w:highlight w:val="none"/>
                <w:lang w:val="de-DE" w:eastAsia="zh-CN" w:bidi="ar-SA"/>
              </w:rPr>
              <w:t>投产后问题数量</w:t>
            </w:r>
          </w:p>
        </w:tc>
        <w:tc>
          <w:tcPr>
            <w:tcW w:w="1168" w:type="pct"/>
            <w:noWrap w:val="0"/>
            <w:vAlign w:val="center"/>
          </w:tcPr>
          <w:p w14:paraId="518AAFF5">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投产后至验收时累计问题数</w:t>
            </w:r>
          </w:p>
        </w:tc>
        <w:tc>
          <w:tcPr>
            <w:tcW w:w="2568" w:type="pct"/>
            <w:noWrap w:val="0"/>
            <w:vAlign w:val="center"/>
          </w:tcPr>
          <w:p w14:paraId="1AA8622F">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1.每100功能点每</w:t>
            </w:r>
            <w:r>
              <w:rPr>
                <w:rFonts w:hint="eastAsia" w:ascii="仿宋_GB2312" w:hAnsi="仿宋_GB2312" w:eastAsia="仿宋_GB2312" w:cs="仿宋_GB2312"/>
                <w:color w:val="auto"/>
                <w:kern w:val="0"/>
                <w:sz w:val="24"/>
                <w:szCs w:val="24"/>
                <w:highlight w:val="none"/>
                <w:lang w:val="en-US" w:eastAsia="zh-CN" w:bidi="ar-SA"/>
              </w:rPr>
              <w:t>3</w:t>
            </w:r>
            <w:r>
              <w:rPr>
                <w:rFonts w:hint="eastAsia" w:ascii="仿宋_GB2312" w:hAnsi="仿宋_GB2312" w:eastAsia="仿宋_GB2312" w:cs="仿宋_GB2312"/>
                <w:color w:val="auto"/>
                <w:kern w:val="0"/>
                <w:sz w:val="24"/>
                <w:szCs w:val="24"/>
                <w:highlight w:val="none"/>
                <w:lang w:val="en-GB" w:eastAsia="zh-CN" w:bidi="ar-SA"/>
              </w:rPr>
              <w:t>月发现问题数&lt;5   优</w:t>
            </w:r>
          </w:p>
          <w:p w14:paraId="7E94B0BF">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2.每100功能点每</w:t>
            </w:r>
            <w:r>
              <w:rPr>
                <w:rFonts w:hint="eastAsia" w:ascii="仿宋_GB2312" w:hAnsi="仿宋_GB2312" w:eastAsia="仿宋_GB2312" w:cs="仿宋_GB2312"/>
                <w:color w:val="auto"/>
                <w:kern w:val="0"/>
                <w:sz w:val="24"/>
                <w:szCs w:val="24"/>
                <w:highlight w:val="none"/>
                <w:lang w:val="en-US" w:eastAsia="zh-CN" w:bidi="ar-SA"/>
              </w:rPr>
              <w:t>3</w:t>
            </w:r>
            <w:r>
              <w:rPr>
                <w:rFonts w:hint="eastAsia" w:ascii="仿宋_GB2312" w:hAnsi="仿宋_GB2312" w:eastAsia="仿宋_GB2312" w:cs="仿宋_GB2312"/>
                <w:color w:val="auto"/>
                <w:kern w:val="0"/>
                <w:sz w:val="24"/>
                <w:szCs w:val="24"/>
                <w:highlight w:val="none"/>
                <w:lang w:val="en-GB" w:eastAsia="zh-CN" w:bidi="ar-SA"/>
              </w:rPr>
              <w:t>月发现问题数&lt;=10 良</w:t>
            </w:r>
          </w:p>
          <w:p w14:paraId="15BBC470">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3.每100功能点每</w:t>
            </w:r>
            <w:r>
              <w:rPr>
                <w:rFonts w:hint="eastAsia" w:ascii="仿宋_GB2312" w:hAnsi="仿宋_GB2312" w:eastAsia="仿宋_GB2312" w:cs="仿宋_GB2312"/>
                <w:color w:val="auto"/>
                <w:kern w:val="0"/>
                <w:sz w:val="24"/>
                <w:szCs w:val="24"/>
                <w:highlight w:val="none"/>
                <w:lang w:val="en-US" w:eastAsia="zh-CN" w:bidi="ar-SA"/>
              </w:rPr>
              <w:t>3</w:t>
            </w:r>
            <w:r>
              <w:rPr>
                <w:rFonts w:hint="eastAsia" w:ascii="仿宋_GB2312" w:hAnsi="仿宋_GB2312" w:eastAsia="仿宋_GB2312" w:cs="仿宋_GB2312"/>
                <w:color w:val="auto"/>
                <w:kern w:val="0"/>
                <w:sz w:val="24"/>
                <w:szCs w:val="24"/>
                <w:highlight w:val="none"/>
                <w:lang w:val="en-GB" w:eastAsia="zh-CN" w:bidi="ar-SA"/>
              </w:rPr>
              <w:t>月发现问题数&lt;=15 中</w:t>
            </w:r>
          </w:p>
          <w:p w14:paraId="14C901C5">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4.每100功能点每</w:t>
            </w:r>
            <w:r>
              <w:rPr>
                <w:rFonts w:hint="eastAsia" w:ascii="仿宋_GB2312" w:hAnsi="仿宋_GB2312" w:eastAsia="仿宋_GB2312" w:cs="仿宋_GB2312"/>
                <w:color w:val="auto"/>
                <w:kern w:val="0"/>
                <w:sz w:val="24"/>
                <w:szCs w:val="24"/>
                <w:highlight w:val="none"/>
                <w:lang w:val="en-US" w:eastAsia="zh-CN" w:bidi="ar-SA"/>
              </w:rPr>
              <w:t>3</w:t>
            </w:r>
            <w:r>
              <w:rPr>
                <w:rFonts w:hint="eastAsia" w:ascii="仿宋_GB2312" w:hAnsi="仿宋_GB2312" w:eastAsia="仿宋_GB2312" w:cs="仿宋_GB2312"/>
                <w:color w:val="auto"/>
                <w:kern w:val="0"/>
                <w:sz w:val="24"/>
                <w:szCs w:val="24"/>
                <w:highlight w:val="none"/>
                <w:lang w:val="en-GB" w:eastAsia="zh-CN" w:bidi="ar-SA"/>
              </w:rPr>
              <w:t>月发现问题数&gt;15  差</w:t>
            </w:r>
          </w:p>
        </w:tc>
        <w:tc>
          <w:tcPr>
            <w:tcW w:w="520" w:type="pct"/>
            <w:noWrap w:val="0"/>
            <w:vAlign w:val="center"/>
          </w:tcPr>
          <w:p w14:paraId="40FEAEDD">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en-US" w:eastAsia="zh-CN" w:bidi="ar-SA"/>
              </w:rPr>
              <w:t>3</w:t>
            </w:r>
            <w:r>
              <w:rPr>
                <w:rFonts w:hint="eastAsia" w:ascii="仿宋_GB2312" w:hAnsi="仿宋_GB2312" w:eastAsia="仿宋_GB2312" w:cs="仿宋_GB2312"/>
                <w:color w:val="auto"/>
                <w:kern w:val="0"/>
                <w:sz w:val="24"/>
                <w:szCs w:val="24"/>
                <w:highlight w:val="none"/>
                <w:lang w:val="de-DE" w:eastAsia="zh-CN" w:bidi="ar-SA"/>
              </w:rPr>
              <w:t>0%</w:t>
            </w:r>
          </w:p>
        </w:tc>
      </w:tr>
      <w:tr w14:paraId="48BA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 w:type="pct"/>
            <w:noWrap w:val="0"/>
            <w:vAlign w:val="center"/>
          </w:tcPr>
          <w:p w14:paraId="1E7DA8D7">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520" w:type="pct"/>
            <w:noWrap w:val="0"/>
            <w:vAlign w:val="center"/>
          </w:tcPr>
          <w:p w14:paraId="31910A32">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工单未及时处理率</w:t>
            </w:r>
          </w:p>
        </w:tc>
        <w:tc>
          <w:tcPr>
            <w:tcW w:w="1168" w:type="pct"/>
            <w:noWrap w:val="0"/>
            <w:vAlign w:val="center"/>
          </w:tcPr>
          <w:p w14:paraId="2CC911FD">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工单处理时长超一个月工单数量/总工单数量</w:t>
            </w:r>
          </w:p>
        </w:tc>
        <w:tc>
          <w:tcPr>
            <w:tcW w:w="2568" w:type="pct"/>
            <w:noWrap w:val="0"/>
            <w:vAlign w:val="center"/>
          </w:tcPr>
          <w:p w14:paraId="4802BEF5">
            <w:pPr>
              <w:widowControl/>
              <w:numPr>
                <w:ilvl w:val="0"/>
                <w:numId w:val="0"/>
              </w:numPr>
              <w:spacing w:line="360" w:lineRule="auto"/>
              <w:ind w:firstLine="0" w:firstLineChars="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 工单未及时处理率</w:t>
            </w:r>
            <w:r>
              <w:rPr>
                <w:rFonts w:hint="eastAsia" w:ascii="仿宋_GB2312" w:hAnsi="仿宋_GB2312" w:eastAsia="仿宋_GB2312" w:cs="仿宋_GB2312"/>
                <w:color w:val="auto"/>
                <w:kern w:val="0"/>
                <w:sz w:val="24"/>
                <w:szCs w:val="24"/>
                <w:highlight w:val="none"/>
                <w:lang w:val="en-GB" w:eastAsia="zh-CN" w:bidi="ar-SA"/>
              </w:rPr>
              <w:t>≤0%</w:t>
            </w:r>
            <w:r>
              <w:rPr>
                <w:rFonts w:hint="eastAsia" w:ascii="仿宋_GB2312" w:hAnsi="仿宋_GB2312" w:eastAsia="仿宋_GB2312" w:cs="仿宋_GB2312"/>
                <w:color w:val="auto"/>
                <w:kern w:val="0"/>
                <w:sz w:val="24"/>
                <w:szCs w:val="24"/>
                <w:highlight w:val="none"/>
                <w:lang w:val="en-US" w:eastAsia="zh-CN" w:bidi="ar-SA"/>
              </w:rPr>
              <w:t xml:space="preserve">     优</w:t>
            </w:r>
          </w:p>
          <w:p w14:paraId="011EA3FB">
            <w:pPr>
              <w:widowControl/>
              <w:numPr>
                <w:ilvl w:val="0"/>
                <w:numId w:val="0"/>
              </w:numPr>
              <w:spacing w:line="360" w:lineRule="auto"/>
              <w:ind w:firstLine="0" w:firstLineChars="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 0%&lt;工单未及时处理率</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 xml:space="preserve">  良</w:t>
            </w:r>
          </w:p>
          <w:p w14:paraId="464FFBDD">
            <w:pPr>
              <w:widowControl/>
              <w:numPr>
                <w:ilvl w:val="0"/>
                <w:numId w:val="0"/>
              </w:numPr>
              <w:spacing w:line="360" w:lineRule="auto"/>
              <w:ind w:firstLine="0" w:firstLineChars="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 5%&lt;工单未及时处理率</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15</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 xml:space="preserve"> 中</w:t>
            </w:r>
          </w:p>
          <w:p w14:paraId="5B23FB7C">
            <w:pPr>
              <w:widowControl/>
              <w:numPr>
                <w:ilvl w:val="0"/>
                <w:numId w:val="0"/>
              </w:numPr>
              <w:spacing w:line="360" w:lineRule="auto"/>
              <w:ind w:firstLine="0" w:firstLineChars="0"/>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 15%&lt;工单未及时处理率     差</w:t>
            </w:r>
          </w:p>
        </w:tc>
        <w:tc>
          <w:tcPr>
            <w:tcW w:w="520" w:type="pct"/>
            <w:noWrap w:val="0"/>
            <w:vAlign w:val="center"/>
          </w:tcPr>
          <w:p w14:paraId="62C612E2">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15%</w:t>
            </w:r>
          </w:p>
        </w:tc>
      </w:tr>
      <w:tr w14:paraId="3425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 w:type="pct"/>
            <w:noWrap w:val="0"/>
            <w:vAlign w:val="center"/>
          </w:tcPr>
          <w:p w14:paraId="2FDCB707">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520" w:type="pct"/>
            <w:noWrap w:val="0"/>
            <w:vAlign w:val="center"/>
          </w:tcPr>
          <w:p w14:paraId="2DDCD952">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异常考勤率</w:t>
            </w:r>
          </w:p>
        </w:tc>
        <w:tc>
          <w:tcPr>
            <w:tcW w:w="1168" w:type="pct"/>
            <w:noWrap w:val="0"/>
            <w:vAlign w:val="center"/>
          </w:tcPr>
          <w:p w14:paraId="582EA557">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驻场期间异常考勤天数/应出勤天数</w:t>
            </w:r>
          </w:p>
        </w:tc>
        <w:tc>
          <w:tcPr>
            <w:tcW w:w="2568" w:type="pct"/>
            <w:noWrap w:val="0"/>
            <w:vAlign w:val="center"/>
          </w:tcPr>
          <w:p w14:paraId="0DF2D4A5">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 xml:space="preserve">1. </w:t>
            </w:r>
            <w:r>
              <w:rPr>
                <w:rFonts w:hint="eastAsia" w:ascii="仿宋_GB2312" w:hAnsi="仿宋_GB2312" w:eastAsia="仿宋_GB2312" w:cs="仿宋_GB2312"/>
                <w:color w:val="auto"/>
                <w:kern w:val="0"/>
                <w:sz w:val="24"/>
                <w:szCs w:val="24"/>
                <w:highlight w:val="none"/>
                <w:lang w:val="en-US" w:eastAsia="zh-CN" w:bidi="ar-SA"/>
              </w:rPr>
              <w:t>异常考勤</w:t>
            </w:r>
            <w:r>
              <w:rPr>
                <w:rFonts w:hint="eastAsia" w:ascii="仿宋_GB2312" w:hAnsi="仿宋_GB2312" w:eastAsia="仿宋_GB2312" w:cs="仿宋_GB2312"/>
                <w:color w:val="auto"/>
                <w:kern w:val="0"/>
                <w:sz w:val="24"/>
                <w:szCs w:val="24"/>
                <w:highlight w:val="none"/>
                <w:lang w:val="en-GB" w:eastAsia="zh-CN" w:bidi="ar-SA"/>
              </w:rPr>
              <w:t>率≤</w:t>
            </w: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        优</w:t>
            </w:r>
          </w:p>
          <w:p w14:paraId="7FE9D48A">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 xml:space="preserve">2. </w:t>
            </w: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异常考勤</w:t>
            </w:r>
            <w:r>
              <w:rPr>
                <w:rFonts w:hint="eastAsia" w:ascii="仿宋_GB2312" w:hAnsi="仿宋_GB2312" w:eastAsia="仿宋_GB2312" w:cs="仿宋_GB2312"/>
                <w:color w:val="auto"/>
                <w:kern w:val="0"/>
                <w:sz w:val="24"/>
                <w:szCs w:val="24"/>
                <w:highlight w:val="none"/>
                <w:lang w:val="en-GB" w:eastAsia="zh-CN" w:bidi="ar-SA"/>
              </w:rPr>
              <w:t>率≤</w:t>
            </w:r>
            <w:r>
              <w:rPr>
                <w:rFonts w:hint="eastAsia" w:ascii="仿宋_GB2312" w:hAnsi="仿宋_GB2312" w:eastAsia="仿宋_GB2312" w:cs="仿宋_GB2312"/>
                <w:color w:val="auto"/>
                <w:kern w:val="0"/>
                <w:sz w:val="24"/>
                <w:szCs w:val="24"/>
                <w:highlight w:val="none"/>
                <w:lang w:val="en-US" w:eastAsia="zh-CN" w:bidi="ar-SA"/>
              </w:rPr>
              <w:t>10</w:t>
            </w:r>
            <w:r>
              <w:rPr>
                <w:rFonts w:hint="eastAsia" w:ascii="仿宋_GB2312" w:hAnsi="仿宋_GB2312" w:eastAsia="仿宋_GB2312" w:cs="仿宋_GB2312"/>
                <w:color w:val="auto"/>
                <w:kern w:val="0"/>
                <w:sz w:val="24"/>
                <w:szCs w:val="24"/>
                <w:highlight w:val="none"/>
                <w:lang w:val="en-GB" w:eastAsia="zh-CN" w:bidi="ar-SA"/>
              </w:rPr>
              <w:t>%   良</w:t>
            </w:r>
          </w:p>
          <w:p w14:paraId="1FB4CDEF">
            <w:pPr>
              <w:widowControl/>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3.</w:t>
            </w:r>
            <w:r>
              <w:rPr>
                <w:rFonts w:hint="eastAsia" w:ascii="仿宋_GB2312" w:hAnsi="仿宋_GB2312" w:eastAsia="仿宋_GB2312" w:cs="仿宋_GB2312"/>
                <w:color w:val="auto"/>
                <w:kern w:val="0"/>
                <w:sz w:val="24"/>
                <w:szCs w:val="24"/>
                <w:highlight w:val="none"/>
                <w:lang w:val="en-US" w:eastAsia="zh-CN" w:bidi="ar-SA"/>
              </w:rPr>
              <w:t xml:space="preserve"> 10</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异常考勤</w:t>
            </w:r>
            <w:r>
              <w:rPr>
                <w:rFonts w:hint="eastAsia" w:ascii="仿宋_GB2312" w:hAnsi="仿宋_GB2312" w:eastAsia="仿宋_GB2312" w:cs="仿宋_GB2312"/>
                <w:color w:val="auto"/>
                <w:kern w:val="0"/>
                <w:sz w:val="24"/>
                <w:szCs w:val="24"/>
                <w:highlight w:val="none"/>
                <w:lang w:val="en-GB" w:eastAsia="zh-CN" w:bidi="ar-SA"/>
              </w:rPr>
              <w:t>率≤15%  中</w:t>
            </w:r>
          </w:p>
          <w:p w14:paraId="1F89367E">
            <w:pPr>
              <w:widowControl/>
              <w:numPr>
                <w:ilvl w:val="0"/>
                <w:numId w:val="0"/>
              </w:numPr>
              <w:spacing w:line="360" w:lineRule="auto"/>
              <w:ind w:firstLine="0" w:firstLineChars="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GB" w:eastAsia="zh-CN" w:bidi="ar-SA"/>
              </w:rPr>
              <w:t>4.</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15%＜</w:t>
            </w:r>
            <w:r>
              <w:rPr>
                <w:rFonts w:hint="eastAsia" w:ascii="仿宋_GB2312" w:hAnsi="仿宋_GB2312" w:eastAsia="仿宋_GB2312" w:cs="仿宋_GB2312"/>
                <w:color w:val="auto"/>
                <w:kern w:val="0"/>
                <w:sz w:val="24"/>
                <w:szCs w:val="24"/>
                <w:highlight w:val="none"/>
                <w:lang w:val="en-US" w:eastAsia="zh-CN" w:bidi="ar-SA"/>
              </w:rPr>
              <w:t>异常考勤</w:t>
            </w:r>
            <w:r>
              <w:rPr>
                <w:rFonts w:hint="eastAsia" w:ascii="仿宋_GB2312" w:hAnsi="仿宋_GB2312" w:eastAsia="仿宋_GB2312" w:cs="仿宋_GB2312"/>
                <w:color w:val="auto"/>
                <w:kern w:val="0"/>
                <w:sz w:val="24"/>
                <w:szCs w:val="24"/>
                <w:highlight w:val="none"/>
                <w:lang w:val="en-GB" w:eastAsia="zh-CN" w:bidi="ar-SA"/>
              </w:rPr>
              <w:t>率       差</w:t>
            </w:r>
          </w:p>
        </w:tc>
        <w:tc>
          <w:tcPr>
            <w:tcW w:w="520" w:type="pct"/>
            <w:noWrap w:val="0"/>
            <w:vAlign w:val="center"/>
          </w:tcPr>
          <w:p w14:paraId="1496FC45">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10%</w:t>
            </w:r>
          </w:p>
        </w:tc>
      </w:tr>
      <w:tr w14:paraId="4B60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 w:type="pct"/>
            <w:noWrap w:val="0"/>
            <w:vAlign w:val="center"/>
          </w:tcPr>
          <w:p w14:paraId="3CD06D16">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520" w:type="pct"/>
            <w:noWrap w:val="0"/>
            <w:vAlign w:val="center"/>
          </w:tcPr>
          <w:p w14:paraId="3717EAB2">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人员稳定性</w:t>
            </w:r>
          </w:p>
        </w:tc>
        <w:tc>
          <w:tcPr>
            <w:tcW w:w="1168" w:type="pct"/>
            <w:noWrap w:val="0"/>
            <w:vAlign w:val="center"/>
          </w:tcPr>
          <w:p w14:paraId="12D799C2">
            <w:pPr>
              <w:widowControl/>
              <w:spacing w:line="36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异动(更换、退出、辞退)人数/驻场总人数</w:t>
            </w:r>
          </w:p>
        </w:tc>
        <w:tc>
          <w:tcPr>
            <w:tcW w:w="2568" w:type="pct"/>
            <w:noWrap w:val="0"/>
            <w:vAlign w:val="center"/>
          </w:tcPr>
          <w:p w14:paraId="710BE9B7">
            <w:pPr>
              <w:widowControl/>
              <w:numPr>
                <w:ilvl w:val="0"/>
                <w:numId w:val="10"/>
              </w:numPr>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人员</w:t>
            </w:r>
            <w:r>
              <w:rPr>
                <w:rFonts w:hint="eastAsia" w:ascii="仿宋_GB2312" w:hAnsi="仿宋_GB2312" w:eastAsia="仿宋_GB2312" w:cs="仿宋_GB2312"/>
                <w:color w:val="auto"/>
                <w:kern w:val="0"/>
                <w:sz w:val="24"/>
                <w:szCs w:val="24"/>
                <w:highlight w:val="none"/>
                <w:lang w:val="en-US" w:eastAsia="zh-CN" w:bidi="ar-SA"/>
              </w:rPr>
              <w:t>异动</w:t>
            </w:r>
            <w:r>
              <w:rPr>
                <w:rFonts w:hint="eastAsia" w:ascii="仿宋_GB2312" w:hAnsi="仿宋_GB2312" w:eastAsia="仿宋_GB2312" w:cs="仿宋_GB2312"/>
                <w:color w:val="auto"/>
                <w:kern w:val="0"/>
                <w:sz w:val="24"/>
                <w:szCs w:val="24"/>
                <w:highlight w:val="none"/>
                <w:lang w:val="en-GB" w:eastAsia="zh-CN" w:bidi="ar-SA"/>
              </w:rPr>
              <w:t>率≤</w:t>
            </w: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 xml:space="preserve">%，且替代人员资质不低于异动人员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优</w:t>
            </w:r>
          </w:p>
          <w:p w14:paraId="72E2A574">
            <w:pPr>
              <w:widowControl/>
              <w:numPr>
                <w:ilvl w:val="0"/>
                <w:numId w:val="10"/>
              </w:numPr>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%＜人员变更率≤</w:t>
            </w:r>
            <w:r>
              <w:rPr>
                <w:rFonts w:hint="eastAsia" w:ascii="仿宋_GB2312" w:hAnsi="仿宋_GB2312" w:eastAsia="仿宋_GB2312" w:cs="仿宋_GB2312"/>
                <w:color w:val="auto"/>
                <w:kern w:val="0"/>
                <w:sz w:val="24"/>
                <w:szCs w:val="24"/>
                <w:highlight w:val="none"/>
                <w:lang w:val="en-US" w:eastAsia="zh-CN" w:bidi="ar-SA"/>
              </w:rPr>
              <w:t>10</w:t>
            </w:r>
            <w:r>
              <w:rPr>
                <w:rFonts w:hint="eastAsia" w:ascii="仿宋_GB2312" w:hAnsi="仿宋_GB2312" w:eastAsia="仿宋_GB2312" w:cs="仿宋_GB2312"/>
                <w:color w:val="auto"/>
                <w:kern w:val="0"/>
                <w:sz w:val="24"/>
                <w:szCs w:val="24"/>
                <w:highlight w:val="none"/>
                <w:lang w:val="en-GB" w:eastAsia="zh-CN" w:bidi="ar-SA"/>
              </w:rPr>
              <w:t xml:space="preserve">%，且替代人员资质不低于异动人员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良</w:t>
            </w:r>
          </w:p>
          <w:p w14:paraId="10290A21">
            <w:pPr>
              <w:widowControl/>
              <w:numPr>
                <w:ilvl w:val="0"/>
                <w:numId w:val="10"/>
              </w:numPr>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US" w:eastAsia="zh-CN" w:bidi="ar-SA"/>
              </w:rPr>
              <w:t>10</w:t>
            </w:r>
            <w:r>
              <w:rPr>
                <w:rFonts w:hint="eastAsia" w:ascii="仿宋_GB2312" w:hAnsi="仿宋_GB2312" w:eastAsia="仿宋_GB2312" w:cs="仿宋_GB2312"/>
                <w:color w:val="auto"/>
                <w:kern w:val="0"/>
                <w:sz w:val="24"/>
                <w:szCs w:val="24"/>
                <w:highlight w:val="none"/>
                <w:lang w:val="en-GB" w:eastAsia="zh-CN" w:bidi="ar-SA"/>
              </w:rPr>
              <w:t>%＜人员变更率≤</w:t>
            </w:r>
            <w:r>
              <w:rPr>
                <w:rFonts w:hint="eastAsia" w:ascii="仿宋_GB2312" w:hAnsi="仿宋_GB2312" w:eastAsia="仿宋_GB2312" w:cs="仿宋_GB2312"/>
                <w:color w:val="auto"/>
                <w:kern w:val="0"/>
                <w:sz w:val="24"/>
                <w:szCs w:val="24"/>
                <w:highlight w:val="none"/>
                <w:lang w:val="en-US" w:eastAsia="zh-CN" w:bidi="ar-SA"/>
              </w:rPr>
              <w:t>20</w:t>
            </w:r>
            <w:r>
              <w:rPr>
                <w:rFonts w:hint="eastAsia" w:ascii="仿宋_GB2312" w:hAnsi="仿宋_GB2312" w:eastAsia="仿宋_GB2312" w:cs="仿宋_GB2312"/>
                <w:color w:val="auto"/>
                <w:kern w:val="0"/>
                <w:sz w:val="24"/>
                <w:szCs w:val="24"/>
                <w:highlight w:val="none"/>
                <w:lang w:val="en-GB" w:eastAsia="zh-CN" w:bidi="ar-SA"/>
              </w:rPr>
              <w:t xml:space="preserve">%，且替代人员资质不低于异动人员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中</w:t>
            </w:r>
          </w:p>
          <w:p w14:paraId="19D4A823">
            <w:pPr>
              <w:widowControl/>
              <w:numPr>
                <w:ilvl w:val="0"/>
                <w:numId w:val="10"/>
              </w:numPr>
              <w:spacing w:line="360" w:lineRule="auto"/>
              <w:ind w:firstLine="0" w:firstLineChars="0"/>
              <w:jc w:val="left"/>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US" w:eastAsia="zh-CN" w:bidi="ar-SA"/>
              </w:rPr>
              <w:t>20</w:t>
            </w:r>
            <w:r>
              <w:rPr>
                <w:rFonts w:hint="eastAsia" w:ascii="仿宋_GB2312" w:hAnsi="仿宋_GB2312" w:eastAsia="仿宋_GB2312" w:cs="仿宋_GB2312"/>
                <w:color w:val="auto"/>
                <w:kern w:val="0"/>
                <w:sz w:val="24"/>
                <w:szCs w:val="24"/>
                <w:highlight w:val="none"/>
                <w:lang w:val="en-GB" w:eastAsia="zh-CN" w:bidi="ar-SA"/>
              </w:rPr>
              <w:t>%＜人员变更率，</w:t>
            </w:r>
            <w:r>
              <w:rPr>
                <w:rFonts w:hint="eastAsia" w:ascii="仿宋_GB2312" w:hAnsi="仿宋_GB2312" w:eastAsia="仿宋_GB2312" w:cs="仿宋_GB2312"/>
                <w:color w:val="auto"/>
                <w:kern w:val="0"/>
                <w:sz w:val="24"/>
                <w:szCs w:val="24"/>
                <w:highlight w:val="none"/>
                <w:lang w:val="en-US" w:eastAsia="zh-CN" w:bidi="ar-SA"/>
              </w:rPr>
              <w:t>或</w:t>
            </w:r>
            <w:r>
              <w:rPr>
                <w:rFonts w:hint="eastAsia" w:ascii="仿宋_GB2312" w:hAnsi="仿宋_GB2312" w:eastAsia="仿宋_GB2312" w:cs="仿宋_GB2312"/>
                <w:color w:val="auto"/>
                <w:kern w:val="0"/>
                <w:sz w:val="24"/>
                <w:szCs w:val="24"/>
                <w:highlight w:val="none"/>
                <w:lang w:val="en-GB" w:eastAsia="zh-CN" w:bidi="ar-SA"/>
              </w:rPr>
              <w:t xml:space="preserve">替代人员资质低于异动人员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差</w:t>
            </w:r>
          </w:p>
        </w:tc>
        <w:tc>
          <w:tcPr>
            <w:tcW w:w="520" w:type="pct"/>
            <w:noWrap w:val="0"/>
            <w:vAlign w:val="center"/>
          </w:tcPr>
          <w:p w14:paraId="697DFA45">
            <w:pPr>
              <w:widowControl/>
              <w:spacing w:line="360" w:lineRule="auto"/>
              <w:ind w:firstLine="0" w:firstLineChars="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10%</w:t>
            </w:r>
          </w:p>
        </w:tc>
      </w:tr>
      <w:tr w14:paraId="0323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center"/>
          </w:tcPr>
          <w:p w14:paraId="7F6CDE01">
            <w:pPr>
              <w:widowControl/>
              <w:tabs>
                <w:tab w:val="left" w:pos="2252"/>
              </w:tabs>
              <w:spacing w:line="360" w:lineRule="auto"/>
              <w:ind w:firstLine="0" w:firstLineChars="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说明：本项目订单涉及功能点情况和数量随报价文件一并提供，应与工作量评估底稿一致；考勤率结合采购人外包考勤情况进行计算。</w:t>
            </w:r>
          </w:p>
        </w:tc>
      </w:tr>
    </w:tbl>
    <w:p w14:paraId="79920844">
      <w:pPr>
        <w:widowControl w:val="0"/>
        <w:spacing w:afterLines="0" w:line="360" w:lineRule="auto"/>
        <w:ind w:firstLine="480" w:firstLineChars="200"/>
        <w:jc w:val="both"/>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 xml:space="preserve">根据SLA最后得分情况，划分为四个等级： </w:t>
      </w:r>
    </w:p>
    <w:p w14:paraId="5953F189">
      <w:pPr>
        <w:widowControl w:val="0"/>
        <w:spacing w:afterLines="0" w:line="360" w:lineRule="auto"/>
        <w:ind w:firstLine="480" w:firstLineChars="200"/>
        <w:jc w:val="both"/>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SLA&gt;=95的为优；</w:t>
      </w:r>
    </w:p>
    <w:p w14:paraId="0E069B58">
      <w:pPr>
        <w:widowControl w:val="0"/>
        <w:spacing w:afterLines="0" w:line="360" w:lineRule="auto"/>
        <w:ind w:firstLine="480" w:firstLineChars="200"/>
        <w:jc w:val="both"/>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SLA在80-95的为良；</w:t>
      </w:r>
    </w:p>
    <w:p w14:paraId="3E15AEFD">
      <w:pPr>
        <w:widowControl w:val="0"/>
        <w:spacing w:afterLines="0" w:line="360" w:lineRule="auto"/>
        <w:ind w:firstLine="480" w:firstLineChars="200"/>
        <w:jc w:val="both"/>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SLA在60-80的为中；</w:t>
      </w:r>
    </w:p>
    <w:p w14:paraId="444FF6E6">
      <w:pPr>
        <w:keepLines w:val="0"/>
        <w:pageBreakBefore w:val="0"/>
        <w:numPr>
          <w:ilvl w:val="0"/>
          <w:numId w:val="0"/>
        </w:numPr>
        <w:kinsoku/>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rPr>
        <w:t>SLA&lt;60的为差</w:t>
      </w:r>
      <w:r>
        <w:rPr>
          <w:rFonts w:hint="eastAsia" w:ascii="Times New Roman" w:hAnsi="Times New Roman" w:eastAsia="仿宋_GB2312" w:cs="Times New Roman"/>
          <w:color w:val="auto"/>
          <w:sz w:val="24"/>
          <w:szCs w:val="24"/>
          <w:highlight w:val="none"/>
          <w:lang w:eastAsia="zh-CN"/>
        </w:rPr>
        <w:t>。</w:t>
      </w:r>
    </w:p>
    <w:p w14:paraId="76921D4C">
      <w:pPr>
        <w:pageBreakBefore w:val="0"/>
        <w:kinsoku/>
        <w:overflowPunct/>
        <w:topLinePunct w:val="0"/>
        <w:autoSpaceDE/>
        <w:autoSpaceDN/>
        <w:bidi w:val="0"/>
        <w:adjustRightInd w:val="0"/>
        <w:snapToGrid/>
        <w:spacing w:beforeLines="0" w:afterLines="0" w:line="360" w:lineRule="auto"/>
        <w:ind w:firstLine="480" w:firstLineChars="200"/>
        <w:textAlignment w:val="baseline"/>
        <w:rPr>
          <w:rFonts w:hint="eastAsia" w:ascii="楷体_GB2312" w:hAnsi="楷体_GB2312" w:eastAsia="楷体_GB2312" w:cs="楷体_GB2312"/>
          <w:color w:val="auto"/>
          <w:sz w:val="24"/>
          <w:szCs w:val="24"/>
          <w:highlight w:val="none"/>
          <w:lang w:val="en-US" w:eastAsia="zh-CN"/>
        </w:rPr>
      </w:pPr>
      <w:bookmarkStart w:id="24" w:name="_Toc7716"/>
      <w:r>
        <w:rPr>
          <w:rFonts w:hint="eastAsia" w:ascii="楷体_GB2312" w:hAnsi="楷体_GB2312" w:eastAsia="楷体_GB2312" w:cs="楷体_GB2312"/>
          <w:color w:val="auto"/>
          <w:sz w:val="24"/>
          <w:szCs w:val="24"/>
          <w:highlight w:val="none"/>
          <w:lang w:val="en-US" w:eastAsia="zh-CN"/>
        </w:rPr>
        <w:t>（三）违约责任</w:t>
      </w:r>
      <w:bookmarkEnd w:id="24"/>
    </w:p>
    <w:p w14:paraId="32B4DB7E">
      <w:pPr>
        <w:pageBreakBefore w:val="0"/>
        <w:kinsoku/>
        <w:overflowPunct/>
        <w:topLinePunct w:val="0"/>
        <w:autoSpaceDE/>
        <w:autoSpaceDN/>
        <w:bidi w:val="0"/>
        <w:adjustRightInd/>
        <w:snapToGrid/>
        <w:spacing w:beforeLines="0" w:afterLines="0" w:line="360" w:lineRule="auto"/>
        <w:ind w:firstLine="480" w:firstLineChars="20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1.供应商在合同签署后，</w:t>
      </w:r>
      <w:r>
        <w:rPr>
          <w:rFonts w:hint="eastAsia" w:ascii="仿宋_GB2312" w:hAnsi="仿宋_GB2312" w:eastAsia="仿宋_GB2312" w:cs="仿宋_GB2312"/>
          <w:b w:val="0"/>
          <w:bCs w:val="0"/>
          <w:color w:val="auto"/>
          <w:sz w:val="24"/>
          <w:szCs w:val="24"/>
          <w:highlight w:val="none"/>
          <w:lang w:val="en-US" w:eastAsia="zh-CN"/>
        </w:rPr>
        <w:t>需要</w:t>
      </w:r>
      <w:r>
        <w:rPr>
          <w:rFonts w:hint="eastAsia" w:ascii="仿宋_GB2312" w:hAnsi="仿宋_GB2312" w:eastAsia="仿宋_GB2312" w:cs="仿宋_GB2312"/>
          <w:color w:val="auto"/>
          <w:sz w:val="24"/>
          <w:szCs w:val="24"/>
          <w:highlight w:val="none"/>
          <w:lang w:val="en-US" w:eastAsia="zh-CN"/>
        </w:rPr>
        <w:t>按上线计划完成投产上线</w:t>
      </w:r>
      <w:r>
        <w:rPr>
          <w:rFonts w:hint="eastAsia" w:ascii="仿宋_GB2312" w:hAnsi="仿宋_GB2312" w:eastAsia="仿宋_GB2312" w:cs="仿宋_GB2312"/>
          <w:b w:val="0"/>
          <w:bCs w:val="0"/>
          <w:color w:val="auto"/>
          <w:sz w:val="24"/>
          <w:szCs w:val="24"/>
          <w:highlight w:val="none"/>
          <w:lang w:val="en-US" w:eastAsia="zh-CN"/>
        </w:rPr>
        <w:t>。如因供应商原因导致未能按期投产上线，将按照</w:t>
      </w:r>
      <w:r>
        <w:rPr>
          <w:rFonts w:hint="eastAsia" w:ascii="仿宋_GB2312" w:hAnsi="仿宋_GB2312" w:eastAsia="仿宋_GB2312" w:cs="仿宋_GB2312"/>
          <w:color w:val="auto"/>
          <w:sz w:val="24"/>
          <w:szCs w:val="24"/>
          <w:highlight w:val="none"/>
        </w:rPr>
        <w:t>每逾期一</w:t>
      </w:r>
      <w:r>
        <w:rPr>
          <w:rFonts w:hint="eastAsia" w:ascii="仿宋_GB2312" w:hAnsi="仿宋_GB2312" w:eastAsia="仿宋_GB2312" w:cs="仿宋_GB2312"/>
          <w:color w:val="auto"/>
          <w:sz w:val="24"/>
          <w:szCs w:val="24"/>
          <w:highlight w:val="none"/>
          <w:lang w:val="en-US" w:eastAsia="zh-CN"/>
        </w:rPr>
        <w:t>日</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扣除</w:t>
      </w:r>
      <w:r>
        <w:rPr>
          <w:rFonts w:hint="eastAsia" w:ascii="仿宋_GB2312" w:hAnsi="仿宋_GB2312" w:eastAsia="仿宋_GB2312" w:cs="仿宋_GB2312"/>
          <w:color w:val="auto"/>
          <w:sz w:val="24"/>
          <w:szCs w:val="24"/>
          <w:highlight w:val="none"/>
        </w:rPr>
        <w:t>“合同价款”的千分之</w:t>
      </w:r>
      <w:r>
        <w:rPr>
          <w:rFonts w:hint="eastAsia" w:ascii="仿宋_GB2312" w:hAnsi="仿宋_GB2312" w:eastAsia="仿宋_GB2312" w:cs="仿宋_GB2312"/>
          <w:color w:val="auto"/>
          <w:sz w:val="24"/>
          <w:szCs w:val="24"/>
          <w:highlight w:val="none"/>
          <w:lang w:val="en-US" w:eastAsia="zh-CN"/>
        </w:rPr>
        <w:t>五</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w:t>
      </w:r>
    </w:p>
    <w:p w14:paraId="41C45637">
      <w:pPr>
        <w:pageBreakBefore w:val="0"/>
        <w:kinsoku/>
        <w:overflowPunct/>
        <w:topLinePunct w:val="0"/>
        <w:autoSpaceDE/>
        <w:autoSpaceDN/>
        <w:bidi w:val="0"/>
        <w:adjustRightInd/>
        <w:snapToGrid/>
        <w:spacing w:beforeLines="0" w:afterLines="0" w:line="360" w:lineRule="auto"/>
        <w:ind w:firstLine="480" w:firstLineChars="20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2.逾期超过90日，采购人将扣除项目全部未付款项，追索全部已付价款，且有权要求供应商须继续履行完成合同内容</w:t>
      </w:r>
      <w:r>
        <w:rPr>
          <w:rFonts w:hint="eastAsia" w:ascii="仿宋_GB2312" w:hAnsi="仿宋_GB2312" w:eastAsia="仿宋_GB2312" w:cs="仿宋_GB2312"/>
          <w:b w:val="0"/>
          <w:bCs w:val="0"/>
          <w:color w:val="auto"/>
          <w:sz w:val="24"/>
          <w:szCs w:val="24"/>
          <w:highlight w:val="none"/>
          <w:lang w:val="en-US" w:eastAsia="zh-CN"/>
        </w:rPr>
        <w:t>。</w:t>
      </w:r>
    </w:p>
    <w:p w14:paraId="7C264D1E">
      <w:pPr>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3.SLA考核的罚则。</w:t>
      </w:r>
    </w:p>
    <w:p w14:paraId="168BF33B">
      <w:pPr>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（1）SLA考核为良：约谈公司高管，提出服务质量保障具体措施并限期落实；</w:t>
      </w:r>
    </w:p>
    <w:p w14:paraId="53A53211">
      <w:pPr>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（2）SLA考核为中：约谈公司高管，提出服务质量保障具体措施并限期落实，从本次付款起每期付款顺次延迟半年支付，如有多次延迟的，延迟期限叠加。</w:t>
      </w:r>
    </w:p>
    <w:p w14:paraId="390086B3">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SLA 考核为差：约谈公司高管，提出服务质量保障具体措施并限期落实，暂停本次及以后各期款项支付，直至下次考核时服务质量达到中级以上，接续按以上标准执行。</w:t>
      </w:r>
      <w:r>
        <w:rPr>
          <w:rFonts w:hint="eastAsia" w:ascii="仿宋_GB2312" w:hAnsi="仿宋_GB2312" w:eastAsia="仿宋_GB2312" w:cs="仿宋_GB2312"/>
          <w:color w:val="auto"/>
          <w:sz w:val="24"/>
          <w:szCs w:val="24"/>
          <w:highlight w:val="none"/>
          <w:lang w:val="en-US" w:eastAsia="zh-CN"/>
        </w:rPr>
        <w:t>如已是最后一次验收，则扣除</w:t>
      </w:r>
      <w:r>
        <w:rPr>
          <w:rFonts w:hint="eastAsia" w:ascii="仿宋_GB2312" w:hAnsi="仿宋_GB2312" w:eastAsia="仿宋_GB2312" w:cs="仿宋_GB2312"/>
          <w:color w:val="auto"/>
          <w:sz w:val="24"/>
          <w:szCs w:val="24"/>
          <w:highlight w:val="none"/>
        </w:rPr>
        <w:t>“合同价款”的</w:t>
      </w:r>
      <w:r>
        <w:rPr>
          <w:rFonts w:hint="eastAsia" w:ascii="仿宋_GB2312" w:hAnsi="仿宋_GB2312" w:eastAsia="仿宋_GB2312" w:cs="仿宋_GB2312"/>
          <w:color w:val="auto"/>
          <w:sz w:val="24"/>
          <w:szCs w:val="24"/>
          <w:highlight w:val="none"/>
          <w:lang w:val="en-US" w:eastAsia="zh-CN"/>
        </w:rPr>
        <w:t>百</w:t>
      </w:r>
      <w:r>
        <w:rPr>
          <w:rFonts w:hint="eastAsia" w:ascii="仿宋_GB2312" w:hAnsi="仿宋_GB2312" w:eastAsia="仿宋_GB2312" w:cs="仿宋_GB2312"/>
          <w:color w:val="auto"/>
          <w:sz w:val="24"/>
          <w:szCs w:val="24"/>
          <w:highlight w:val="none"/>
        </w:rPr>
        <w:t>分之</w:t>
      </w:r>
      <w:r>
        <w:rPr>
          <w:rFonts w:hint="eastAsia" w:ascii="仿宋_GB2312" w:hAnsi="仿宋_GB2312" w:eastAsia="仿宋_GB2312" w:cs="仿宋_GB2312"/>
          <w:color w:val="auto"/>
          <w:sz w:val="24"/>
          <w:szCs w:val="24"/>
          <w:highlight w:val="none"/>
          <w:lang w:val="en-US" w:eastAsia="zh-CN"/>
        </w:rPr>
        <w:t>五</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w:t>
      </w:r>
      <w:bookmarkEnd w:id="22"/>
      <w:bookmarkEnd w:id="2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F962B"/>
    <w:multiLevelType w:val="singleLevel"/>
    <w:tmpl w:val="84DF962B"/>
    <w:lvl w:ilvl="0" w:tentative="0">
      <w:start w:val="2"/>
      <w:numFmt w:val="chineseCounting"/>
      <w:suff w:val="nothing"/>
      <w:lvlText w:val="（%1）"/>
      <w:lvlJc w:val="left"/>
      <w:rPr>
        <w:rFonts w:hint="eastAsia"/>
      </w:rPr>
    </w:lvl>
  </w:abstractNum>
  <w:abstractNum w:abstractNumId="1">
    <w:nsid w:val="AE84738A"/>
    <w:multiLevelType w:val="singleLevel"/>
    <w:tmpl w:val="AE84738A"/>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C484F922"/>
    <w:multiLevelType w:val="singleLevel"/>
    <w:tmpl w:val="C484F922"/>
    <w:lvl w:ilvl="0" w:tentative="0">
      <w:start w:val="2"/>
      <w:numFmt w:val="chineseCounting"/>
      <w:suff w:val="nothing"/>
      <w:lvlText w:val="（%1）"/>
      <w:lvlJc w:val="left"/>
      <w:rPr>
        <w:rFonts w:hint="eastAsia"/>
      </w:rPr>
    </w:lvl>
  </w:abstractNum>
  <w:abstractNum w:abstractNumId="3">
    <w:nsid w:val="E60D9477"/>
    <w:multiLevelType w:val="singleLevel"/>
    <w:tmpl w:val="E60D9477"/>
    <w:lvl w:ilvl="0" w:tentative="0">
      <w:start w:val="2"/>
      <w:numFmt w:val="chineseCounting"/>
      <w:suff w:val="nothing"/>
      <w:lvlText w:val="%1、"/>
      <w:lvlJc w:val="left"/>
      <w:rPr>
        <w:rFonts w:hint="eastAsia"/>
      </w:rPr>
    </w:lvl>
  </w:abstractNum>
  <w:abstractNum w:abstractNumId="4">
    <w:nsid w:val="FB123A50"/>
    <w:multiLevelType w:val="singleLevel"/>
    <w:tmpl w:val="FB123A50"/>
    <w:lvl w:ilvl="0" w:tentative="0">
      <w:start w:val="9"/>
      <w:numFmt w:val="chineseCounting"/>
      <w:suff w:val="nothing"/>
      <w:lvlText w:val="%1、"/>
      <w:lvlJc w:val="left"/>
      <w:rPr>
        <w:rFonts w:hint="eastAsia"/>
      </w:rPr>
    </w:lvl>
  </w:abstractNum>
  <w:abstractNum w:abstractNumId="5">
    <w:nsid w:val="0ADB80FC"/>
    <w:multiLevelType w:val="singleLevel"/>
    <w:tmpl w:val="0ADB80FC"/>
    <w:lvl w:ilvl="0" w:tentative="0">
      <w:start w:val="1"/>
      <w:numFmt w:val="decimal"/>
      <w:suff w:val="space"/>
      <w:lvlText w:val="%1."/>
      <w:lvlJc w:val="left"/>
    </w:lvl>
  </w:abstractNum>
  <w:abstractNum w:abstractNumId="6">
    <w:nsid w:val="41923192"/>
    <w:multiLevelType w:val="multilevel"/>
    <w:tmpl w:val="4192319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F3B93A5"/>
    <w:multiLevelType w:val="singleLevel"/>
    <w:tmpl w:val="4F3B93A5"/>
    <w:lvl w:ilvl="0" w:tentative="0">
      <w:start w:val="3"/>
      <w:numFmt w:val="chineseCounting"/>
      <w:suff w:val="nothing"/>
      <w:lvlText w:val="%1、"/>
      <w:lvlJc w:val="left"/>
      <w:rPr>
        <w:rFonts w:hint="eastAsia"/>
      </w:rPr>
    </w:lvl>
  </w:abstractNum>
  <w:abstractNum w:abstractNumId="8">
    <w:nsid w:val="58599E33"/>
    <w:multiLevelType w:val="singleLevel"/>
    <w:tmpl w:val="58599E33"/>
    <w:lvl w:ilvl="0" w:tentative="0">
      <w:start w:val="3"/>
      <w:numFmt w:val="decimal"/>
      <w:suff w:val="nothing"/>
      <w:lvlText w:val="（%1）"/>
      <w:lvlJc w:val="left"/>
    </w:lvl>
  </w:abstractNum>
  <w:abstractNum w:abstractNumId="9">
    <w:nsid w:val="73942994"/>
    <w:multiLevelType w:val="singleLevel"/>
    <w:tmpl w:val="73942994"/>
    <w:lvl w:ilvl="0" w:tentative="0">
      <w:start w:val="1"/>
      <w:numFmt w:val="bullet"/>
      <w:lvlText w:val=""/>
      <w:lvlJc w:val="left"/>
      <w:pPr>
        <w:ind w:left="1050" w:hanging="420"/>
      </w:pPr>
      <w:rPr>
        <w:rFonts w:hint="default" w:ascii="Wingdings" w:hAnsi="Wingdings"/>
      </w:rPr>
    </w:lvl>
  </w:abstractNum>
  <w:num w:numId="1">
    <w:abstractNumId w:val="2"/>
  </w:num>
  <w:num w:numId="2">
    <w:abstractNumId w:val="3"/>
  </w:num>
  <w:num w:numId="3">
    <w:abstractNumId w:val="6"/>
  </w:num>
  <w:num w:numId="4">
    <w:abstractNumId w:val="1"/>
  </w:num>
  <w:num w:numId="5">
    <w:abstractNumId w:val="7"/>
  </w:num>
  <w:num w:numId="6">
    <w:abstractNumId w:val="4"/>
  </w:num>
  <w:num w:numId="7">
    <w:abstractNumId w:val="0"/>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02595"/>
    <w:rsid w:val="3E9B6EC4"/>
    <w:rsid w:val="60302595"/>
    <w:rsid w:val="6CA41173"/>
    <w:rsid w:val="737A2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next w:val="3"/>
    <w:qFormat/>
    <w:uiPriority w:val="0"/>
    <w:pPr>
      <w:widowControl w:val="0"/>
      <w:spacing w:after="120"/>
      <w:jc w:val="both"/>
    </w:pPr>
    <w:rPr>
      <w:rFonts w:ascii="Times New Roman" w:hAnsi="Times New Roman" w:eastAsia="宋体" w:cs="Times New Roman"/>
      <w:kern w:val="2"/>
      <w:sz w:val="21"/>
      <w:szCs w:val="22"/>
      <w:lang w:val="en-US" w:eastAsia="zh-CN" w:bidi="ar-SA"/>
    </w:rPr>
  </w:style>
  <w:style w:type="paragraph" w:styleId="3">
    <w:name w:val="Plain Text"/>
    <w:unhideWhenUsed/>
    <w:qFormat/>
    <w:uiPriority w:val="0"/>
    <w:pPr>
      <w:widowControl w:val="0"/>
      <w:jc w:val="both"/>
    </w:pPr>
    <w:rPr>
      <w:rFonts w:ascii="宋体" w:hAnsi="Courier New" w:eastAsia="宋体" w:cs="Times New Roman"/>
      <w:kern w:val="2"/>
      <w:sz w:val="21"/>
      <w:szCs w:val="21"/>
      <w:lang w:val="en-US" w:eastAsia="zh-CN" w:bidi="ar-SA"/>
    </w:rPr>
  </w:style>
  <w:style w:type="table" w:styleId="5">
    <w:name w:val="Table Grid"/>
    <w:qFormat/>
    <w:uiPriority w:val="59"/>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样式2"/>
    <w:basedOn w:val="1"/>
    <w:link w:val="8"/>
    <w:qFormat/>
    <w:uiPriority w:val="0"/>
    <w:pPr>
      <w:spacing w:line="300" w:lineRule="auto"/>
      <w:jc w:val="center"/>
      <w:outlineLvl w:val="0"/>
    </w:pPr>
    <w:rPr>
      <w:rFonts w:ascii="Times New Roman" w:hAnsi="Times New Roman" w:eastAsia="宋体"/>
      <w:sz w:val="24"/>
    </w:rPr>
  </w:style>
  <w:style w:type="character" w:customStyle="1" w:styleId="8">
    <w:name w:val="样式2 Char"/>
    <w:link w:val="7"/>
    <w:qFormat/>
    <w:uiPriority w:val="0"/>
    <w:rPr>
      <w:rFonts w:ascii="Times New Roman" w:hAnsi="Times New Roman" w:eastAsia="宋体"/>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2026-07-17T07:32:00Z</dcterms:created>
  <dc:creator>霍</dc:creator>
  <cp:lastModifiedBy>霍</cp:lastModifiedBy>
  <dcterms:modified xsi:type="dcterms:W3CDTF">2026-07-17T07:34:38Z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795F1A8DAE0A4F4EA1FEF325B937A23D_11</vt:lpwstr>
  </property>
  <property fmtid="{D5CDD505-2E9C-101B-9397-08002B2CF9AE}" pid="4" name="KSOTemplateDocerSaveRecord">
    <vt:lpwstr>eyJoZGlkIjoiN2JlZWJiMWFhZTA2OTk3ZjczOTA3YjIyYTJmZjg4OGIiLCJ1c2VySWQiOiI5MzAzNzIzOTYifQ==</vt:lpwstr>
  </property>
</Properties>
</file>